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CE6" w:rsidRDefault="000340F8">
      <w:pPr>
        <w:spacing w:beforeLines="50" w:before="156" w:afterLines="50" w:after="156" w:line="400" w:lineRule="exact"/>
        <w:rPr>
          <w:rFonts w:ascii="Times New Roman" w:hAnsi="Times New Roman"/>
          <w:bCs/>
          <w:iCs/>
          <w:sz w:val="24"/>
        </w:rPr>
      </w:pPr>
      <w:r>
        <w:rPr>
          <w:rFonts w:ascii="Times New Roman" w:hAnsi="Times New Roman"/>
          <w:b/>
          <w:iCs/>
          <w:sz w:val="24"/>
        </w:rPr>
        <w:t>证券代码：</w:t>
      </w:r>
      <w:r>
        <w:rPr>
          <w:rFonts w:ascii="Times New Roman" w:hAnsi="Times New Roman"/>
          <w:b/>
          <w:iCs/>
          <w:sz w:val="24"/>
        </w:rPr>
        <w:t xml:space="preserve">601665  </w:t>
      </w:r>
      <w:r>
        <w:rPr>
          <w:rFonts w:ascii="Times New Roman" w:hAnsi="Times New Roman"/>
          <w:bCs/>
          <w:iCs/>
          <w:sz w:val="24"/>
        </w:rPr>
        <w:t xml:space="preserve">         </w:t>
      </w:r>
      <w:r>
        <w:rPr>
          <w:rFonts w:ascii="Times New Roman" w:hAnsi="Times New Roman" w:hint="eastAsia"/>
          <w:bCs/>
          <w:iCs/>
          <w:sz w:val="24"/>
        </w:rPr>
        <w:t xml:space="preserve">  </w:t>
      </w:r>
      <w:r>
        <w:rPr>
          <w:rFonts w:ascii="Times New Roman" w:hAnsi="Times New Roman"/>
          <w:bCs/>
          <w:iCs/>
          <w:sz w:val="24"/>
        </w:rPr>
        <w:t xml:space="preserve">                      </w:t>
      </w:r>
      <w:r>
        <w:rPr>
          <w:rFonts w:ascii="Times New Roman" w:hAnsi="Times New Roman"/>
          <w:b/>
          <w:iCs/>
          <w:sz w:val="24"/>
        </w:rPr>
        <w:t>证券简称：齐鲁银行</w:t>
      </w:r>
    </w:p>
    <w:p w:rsidR="003F6CE6" w:rsidRDefault="000340F8">
      <w:pPr>
        <w:spacing w:beforeLines="50" w:before="156" w:afterLines="50" w:after="156"/>
        <w:jc w:val="center"/>
        <w:rPr>
          <w:rFonts w:ascii="Times New Roman" w:hAnsi="Times New Roman"/>
          <w:b/>
          <w:bCs/>
          <w:iCs/>
          <w:sz w:val="36"/>
          <w:szCs w:val="36"/>
        </w:rPr>
      </w:pPr>
      <w:r>
        <w:rPr>
          <w:rFonts w:ascii="Times New Roman" w:hAnsi="Times New Roman"/>
          <w:b/>
          <w:bCs/>
          <w:iCs/>
          <w:sz w:val="36"/>
          <w:szCs w:val="36"/>
        </w:rPr>
        <w:t>齐鲁银行股份有限公司投资者关系活动记录表</w:t>
      </w:r>
    </w:p>
    <w:p w:rsidR="003F6CE6" w:rsidRDefault="000340F8">
      <w:pPr>
        <w:rPr>
          <w:rFonts w:ascii="Times New Roman" w:hAnsi="Times New Roman"/>
          <w:b/>
          <w:iCs/>
          <w:sz w:val="24"/>
        </w:rPr>
      </w:pPr>
      <w:r>
        <w:rPr>
          <w:rFonts w:ascii="Times New Roman" w:hAnsi="Times New Roman"/>
          <w:bCs/>
          <w:iCs/>
          <w:sz w:val="24"/>
        </w:rPr>
        <w:t xml:space="preserve">                                                       </w:t>
      </w:r>
      <w:r>
        <w:rPr>
          <w:rFonts w:ascii="Times New Roman" w:hAnsi="Times New Roman"/>
          <w:b/>
          <w:iCs/>
          <w:sz w:val="24"/>
        </w:rPr>
        <w:t>编号：</w:t>
      </w:r>
      <w:r>
        <w:rPr>
          <w:rFonts w:ascii="Times New Roman" w:hAnsi="Times New Roman"/>
          <w:b/>
          <w:iCs/>
          <w:sz w:val="24"/>
        </w:rPr>
        <w:t>2025-005</w:t>
      </w:r>
      <w:bookmarkStart w:id="0" w:name="_GoBack"/>
      <w:bookmarkEnd w:id="0"/>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361"/>
        <w:gridCol w:w="2447"/>
        <w:gridCol w:w="355"/>
        <w:gridCol w:w="2317"/>
        <w:gridCol w:w="375"/>
        <w:gridCol w:w="1460"/>
      </w:tblGrid>
      <w:tr w:rsidR="003F6CE6">
        <w:trPr>
          <w:trHeight w:val="340"/>
          <w:jc w:val="center"/>
        </w:trPr>
        <w:tc>
          <w:tcPr>
            <w:tcW w:w="1298" w:type="dxa"/>
            <w:tcBorders>
              <w:top w:val="single" w:sz="4" w:space="0" w:color="auto"/>
              <w:left w:val="single" w:sz="4" w:space="0" w:color="auto"/>
              <w:right w:val="single" w:sz="4" w:space="0" w:color="auto"/>
            </w:tcBorders>
            <w:shd w:val="clear" w:color="auto" w:fill="auto"/>
            <w:vAlign w:val="center"/>
          </w:tcPr>
          <w:p w:rsidR="003F6CE6" w:rsidRDefault="000340F8">
            <w:pPr>
              <w:rPr>
                <w:rFonts w:ascii="Times New Roman" w:hAnsi="Times New Roman"/>
                <w:b/>
                <w:bCs/>
                <w:iCs/>
                <w:szCs w:val="21"/>
              </w:rPr>
            </w:pPr>
            <w:r>
              <w:rPr>
                <w:rFonts w:ascii="Times New Roman" w:hAnsi="Times New Roman"/>
                <w:b/>
                <w:bCs/>
                <w:szCs w:val="21"/>
              </w:rPr>
              <w:t>投资者关系活动类别</w:t>
            </w:r>
          </w:p>
        </w:tc>
        <w:tc>
          <w:tcPr>
            <w:tcW w:w="361" w:type="dxa"/>
            <w:tcBorders>
              <w:top w:val="single" w:sz="4" w:space="0" w:color="auto"/>
              <w:left w:val="single" w:sz="4" w:space="0" w:color="auto"/>
              <w:bottom w:val="single" w:sz="4" w:space="0" w:color="auto"/>
              <w:right w:val="nil"/>
            </w:tcBorders>
            <w:shd w:val="clear" w:color="auto" w:fill="auto"/>
          </w:tcPr>
          <w:p w:rsidR="003F6CE6" w:rsidRDefault="000340F8">
            <w:pPr>
              <w:rPr>
                <w:rFonts w:ascii="Times New Roman" w:hAnsi="Times New Roman"/>
                <w:szCs w:val="21"/>
              </w:rPr>
            </w:pPr>
            <w:r>
              <w:rPr>
                <w:rFonts w:ascii="Times New Roman" w:hAnsi="Times New Roman" w:hint="eastAsia"/>
                <w:szCs w:val="21"/>
              </w:rPr>
              <w:sym w:font="Wingdings 2" w:char="00A3"/>
            </w:r>
            <w:r>
              <w:rPr>
                <w:rFonts w:ascii="Times New Roman" w:hAnsi="Times New Roman" w:hint="eastAsia"/>
                <w:szCs w:val="21"/>
              </w:rPr>
              <w:sym w:font="Wingdings 2" w:char="00A3"/>
            </w:r>
            <w:r>
              <w:rPr>
                <w:rFonts w:ascii="Times New Roman" w:hAnsi="Times New Roman" w:hint="eastAsia"/>
                <w:szCs w:val="21"/>
              </w:rPr>
              <w:sym w:font="Wingdings 2" w:char="0052"/>
            </w:r>
          </w:p>
        </w:tc>
        <w:tc>
          <w:tcPr>
            <w:tcW w:w="2447" w:type="dxa"/>
            <w:tcBorders>
              <w:top w:val="single" w:sz="4" w:space="0" w:color="auto"/>
              <w:left w:val="nil"/>
              <w:bottom w:val="single" w:sz="4" w:space="0" w:color="auto"/>
              <w:right w:val="nil"/>
            </w:tcBorders>
            <w:shd w:val="clear" w:color="auto" w:fill="auto"/>
          </w:tcPr>
          <w:p w:rsidR="003F6CE6" w:rsidRDefault="000340F8">
            <w:pPr>
              <w:rPr>
                <w:rFonts w:ascii="Times New Roman" w:hAnsi="Times New Roman"/>
                <w:szCs w:val="21"/>
              </w:rPr>
            </w:pPr>
            <w:r>
              <w:rPr>
                <w:rFonts w:ascii="Times New Roman" w:hAnsi="Times New Roman"/>
                <w:szCs w:val="21"/>
              </w:rPr>
              <w:t>特定对象调研</w:t>
            </w:r>
          </w:p>
          <w:p w:rsidR="003F6CE6" w:rsidRDefault="000340F8">
            <w:pPr>
              <w:pStyle w:val="a4"/>
              <w:spacing w:after="0"/>
              <w:ind w:firstLine="0"/>
              <w:rPr>
                <w:rFonts w:ascii="Times New Roman" w:hAnsi="Times New Roman"/>
                <w:szCs w:val="21"/>
              </w:rPr>
            </w:pPr>
            <w:r>
              <w:rPr>
                <w:rFonts w:ascii="Times New Roman" w:hAnsi="Times New Roman"/>
                <w:szCs w:val="21"/>
              </w:rPr>
              <w:t>新闻发布会</w:t>
            </w:r>
          </w:p>
          <w:p w:rsidR="003F6CE6" w:rsidRDefault="000340F8">
            <w:pPr>
              <w:rPr>
                <w:rFonts w:ascii="Times New Roman" w:hAnsi="Times New Roman"/>
                <w:szCs w:val="21"/>
              </w:rPr>
            </w:pPr>
            <w:r>
              <w:rPr>
                <w:rFonts w:ascii="Times New Roman" w:hAnsi="Times New Roman"/>
                <w:szCs w:val="21"/>
              </w:rPr>
              <w:t>其他</w:t>
            </w:r>
          </w:p>
        </w:tc>
        <w:tc>
          <w:tcPr>
            <w:tcW w:w="355" w:type="dxa"/>
            <w:tcBorders>
              <w:top w:val="single" w:sz="4" w:space="0" w:color="auto"/>
              <w:left w:val="nil"/>
              <w:bottom w:val="single" w:sz="4" w:space="0" w:color="auto"/>
              <w:right w:val="nil"/>
            </w:tcBorders>
            <w:shd w:val="clear" w:color="auto" w:fill="auto"/>
          </w:tcPr>
          <w:p w:rsidR="003F6CE6" w:rsidRDefault="000340F8">
            <w:pPr>
              <w:rPr>
                <w:rFonts w:ascii="Times New Roman" w:hAnsi="Times New Roman"/>
                <w:szCs w:val="21"/>
              </w:rPr>
            </w:pPr>
            <w:r>
              <w:rPr>
                <w:rFonts w:ascii="Times New Roman" w:hAnsi="Times New Roman" w:hint="eastAsia"/>
                <w:szCs w:val="21"/>
              </w:rPr>
              <w:sym w:font="Wingdings 2" w:char="00A3"/>
            </w:r>
            <w:r>
              <w:rPr>
                <w:rFonts w:ascii="Times New Roman" w:hAnsi="Times New Roman" w:hint="eastAsia"/>
                <w:szCs w:val="21"/>
              </w:rPr>
              <w:sym w:font="Wingdings 2" w:char="00A3"/>
            </w:r>
          </w:p>
        </w:tc>
        <w:tc>
          <w:tcPr>
            <w:tcW w:w="2317" w:type="dxa"/>
            <w:tcBorders>
              <w:top w:val="single" w:sz="4" w:space="0" w:color="auto"/>
              <w:left w:val="nil"/>
              <w:bottom w:val="single" w:sz="4" w:space="0" w:color="auto"/>
              <w:right w:val="nil"/>
            </w:tcBorders>
            <w:shd w:val="clear" w:color="auto" w:fill="auto"/>
          </w:tcPr>
          <w:p w:rsidR="003F6CE6" w:rsidRDefault="000340F8">
            <w:pPr>
              <w:pStyle w:val="a4"/>
              <w:spacing w:after="0"/>
              <w:ind w:firstLine="0"/>
              <w:rPr>
                <w:rFonts w:ascii="Times New Roman" w:hAnsi="Times New Roman"/>
                <w:szCs w:val="21"/>
              </w:rPr>
            </w:pPr>
            <w:r>
              <w:rPr>
                <w:rFonts w:ascii="Times New Roman" w:hAnsi="Times New Roman"/>
                <w:szCs w:val="21"/>
              </w:rPr>
              <w:t>策略会</w:t>
            </w:r>
          </w:p>
          <w:p w:rsidR="003F6CE6" w:rsidRDefault="000340F8">
            <w:pPr>
              <w:rPr>
                <w:rFonts w:ascii="Times New Roman" w:hAnsi="Times New Roman"/>
                <w:szCs w:val="21"/>
              </w:rPr>
            </w:pPr>
            <w:r>
              <w:rPr>
                <w:rFonts w:ascii="Times New Roman" w:hAnsi="Times New Roman"/>
                <w:szCs w:val="21"/>
              </w:rPr>
              <w:t>现场参观</w:t>
            </w:r>
          </w:p>
          <w:p w:rsidR="003F6CE6" w:rsidRDefault="003F6CE6">
            <w:pPr>
              <w:rPr>
                <w:rFonts w:ascii="Times New Roman" w:hAnsi="Times New Roman"/>
                <w:szCs w:val="21"/>
              </w:rPr>
            </w:pPr>
          </w:p>
        </w:tc>
        <w:tc>
          <w:tcPr>
            <w:tcW w:w="375" w:type="dxa"/>
            <w:tcBorders>
              <w:top w:val="single" w:sz="4" w:space="0" w:color="auto"/>
              <w:left w:val="nil"/>
              <w:bottom w:val="single" w:sz="4" w:space="0" w:color="auto"/>
              <w:right w:val="nil"/>
            </w:tcBorders>
            <w:shd w:val="clear" w:color="auto" w:fill="auto"/>
          </w:tcPr>
          <w:p w:rsidR="003F6CE6" w:rsidRDefault="000340F8">
            <w:pPr>
              <w:rPr>
                <w:rFonts w:ascii="Times New Roman" w:hAnsi="Times New Roman"/>
                <w:szCs w:val="21"/>
              </w:rPr>
            </w:pPr>
            <w:r>
              <w:rPr>
                <w:rFonts w:ascii="Times New Roman" w:hAnsi="Times New Roman" w:hint="eastAsia"/>
                <w:szCs w:val="21"/>
              </w:rPr>
              <w:sym w:font="Wingdings 2" w:char="00A3"/>
            </w:r>
            <w:r>
              <w:rPr>
                <w:rFonts w:ascii="Times New Roman" w:hAnsi="Times New Roman" w:hint="eastAsia"/>
                <w:szCs w:val="21"/>
              </w:rPr>
              <w:sym w:font="Wingdings 2" w:char="00A3"/>
            </w:r>
          </w:p>
        </w:tc>
        <w:tc>
          <w:tcPr>
            <w:tcW w:w="1460" w:type="dxa"/>
            <w:tcBorders>
              <w:top w:val="single" w:sz="4" w:space="0" w:color="auto"/>
              <w:left w:val="nil"/>
              <w:bottom w:val="single" w:sz="4" w:space="0" w:color="auto"/>
              <w:right w:val="single" w:sz="4" w:space="0" w:color="auto"/>
            </w:tcBorders>
            <w:shd w:val="clear" w:color="auto" w:fill="auto"/>
          </w:tcPr>
          <w:p w:rsidR="003F6CE6" w:rsidRDefault="000340F8">
            <w:pPr>
              <w:pStyle w:val="a4"/>
              <w:spacing w:after="0"/>
              <w:ind w:firstLine="0"/>
              <w:rPr>
                <w:rFonts w:ascii="Times New Roman" w:hAnsi="Times New Roman"/>
                <w:szCs w:val="21"/>
              </w:rPr>
            </w:pPr>
            <w:r>
              <w:rPr>
                <w:rFonts w:ascii="Times New Roman" w:hAnsi="Times New Roman"/>
                <w:szCs w:val="21"/>
              </w:rPr>
              <w:t>媒体采访</w:t>
            </w:r>
          </w:p>
          <w:p w:rsidR="003F6CE6" w:rsidRDefault="000340F8">
            <w:pPr>
              <w:rPr>
                <w:rFonts w:ascii="Times New Roman" w:hAnsi="Times New Roman"/>
                <w:szCs w:val="21"/>
              </w:rPr>
            </w:pPr>
            <w:r>
              <w:rPr>
                <w:rFonts w:ascii="Times New Roman" w:eastAsiaTheme="minorEastAsia" w:hAnsi="Times New Roman"/>
                <w:szCs w:val="21"/>
              </w:rPr>
              <w:t>业绩说明会</w:t>
            </w:r>
          </w:p>
        </w:tc>
      </w:tr>
      <w:tr w:rsidR="003F6CE6">
        <w:trPr>
          <w:trHeight w:val="170"/>
          <w:jc w:val="center"/>
        </w:trPr>
        <w:tc>
          <w:tcPr>
            <w:tcW w:w="1298" w:type="dxa"/>
            <w:tcBorders>
              <w:top w:val="single" w:sz="4" w:space="0" w:color="auto"/>
              <w:left w:val="single" w:sz="4" w:space="0" w:color="auto"/>
              <w:right w:val="single" w:sz="4" w:space="0" w:color="auto"/>
            </w:tcBorders>
            <w:shd w:val="clear" w:color="auto" w:fill="auto"/>
            <w:vAlign w:val="center"/>
          </w:tcPr>
          <w:p w:rsidR="003F6CE6" w:rsidRDefault="000340F8">
            <w:pPr>
              <w:spacing w:line="360" w:lineRule="exact"/>
              <w:rPr>
                <w:rFonts w:ascii="Times New Roman" w:hAnsi="Times New Roman"/>
                <w:b/>
                <w:bCs/>
                <w:iCs/>
                <w:szCs w:val="21"/>
              </w:rPr>
            </w:pPr>
            <w:r>
              <w:rPr>
                <w:rFonts w:ascii="Times New Roman" w:hAnsi="Times New Roman" w:hint="eastAsia"/>
                <w:b/>
                <w:bCs/>
                <w:szCs w:val="21"/>
              </w:rPr>
              <w:t>时间、</w:t>
            </w:r>
            <w:r>
              <w:rPr>
                <w:rFonts w:ascii="Times New Roman" w:hAnsi="Times New Roman"/>
                <w:b/>
                <w:bCs/>
                <w:szCs w:val="21"/>
              </w:rPr>
              <w:t>参与单位及人员</w:t>
            </w:r>
          </w:p>
        </w:tc>
        <w:tc>
          <w:tcPr>
            <w:tcW w:w="73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F6CE6" w:rsidRDefault="000340F8">
            <w:pPr>
              <w:pStyle w:val="a4"/>
              <w:spacing w:after="0" w:line="360" w:lineRule="exact"/>
              <w:ind w:firstLine="0"/>
              <w:jc w:val="left"/>
              <w:rPr>
                <w:rFonts w:ascii="Times New Roman" w:hAnsi="Times New Roman"/>
                <w:b/>
                <w:bCs/>
                <w:szCs w:val="21"/>
              </w:rPr>
            </w:pPr>
            <w:r>
              <w:rPr>
                <w:rFonts w:ascii="Times New Roman" w:hAnsi="Times New Roman" w:hint="eastAsia"/>
                <w:b/>
                <w:bCs/>
                <w:szCs w:val="21"/>
              </w:rPr>
              <w:t>202</w:t>
            </w:r>
            <w:r>
              <w:rPr>
                <w:rFonts w:ascii="Times New Roman" w:hAnsi="Times New Roman"/>
                <w:b/>
                <w:bCs/>
                <w:szCs w:val="21"/>
              </w:rPr>
              <w:t>5</w:t>
            </w:r>
            <w:r>
              <w:rPr>
                <w:rFonts w:ascii="Times New Roman" w:hAnsi="Times New Roman" w:hint="eastAsia"/>
                <w:b/>
                <w:bCs/>
                <w:szCs w:val="21"/>
              </w:rPr>
              <w:t>年</w:t>
            </w:r>
            <w:r>
              <w:rPr>
                <w:rFonts w:ascii="Times New Roman" w:hAnsi="Times New Roman"/>
                <w:b/>
                <w:bCs/>
                <w:szCs w:val="21"/>
              </w:rPr>
              <w:t>5</w:t>
            </w:r>
            <w:r>
              <w:rPr>
                <w:rFonts w:ascii="Times New Roman" w:hAnsi="Times New Roman" w:hint="eastAsia"/>
                <w:b/>
                <w:bCs/>
                <w:szCs w:val="21"/>
              </w:rPr>
              <w:t>月</w:t>
            </w:r>
            <w:r>
              <w:rPr>
                <w:rFonts w:ascii="Times New Roman" w:hAnsi="Times New Roman"/>
                <w:b/>
                <w:bCs/>
                <w:szCs w:val="21"/>
              </w:rPr>
              <w:t>1</w:t>
            </w:r>
            <w:r>
              <w:rPr>
                <w:rFonts w:ascii="Times New Roman" w:hAnsi="Times New Roman" w:hint="eastAsia"/>
                <w:b/>
                <w:bCs/>
                <w:szCs w:val="21"/>
              </w:rPr>
              <w:t>5</w:t>
            </w:r>
            <w:r>
              <w:rPr>
                <w:rFonts w:ascii="Times New Roman" w:hAnsi="Times New Roman" w:hint="eastAsia"/>
                <w:b/>
                <w:bCs/>
                <w:szCs w:val="21"/>
              </w:rPr>
              <w:t>日</w:t>
            </w:r>
            <w:r>
              <w:rPr>
                <w:rFonts w:ascii="Times New Roman" w:hAnsi="Times New Roman" w:hint="eastAsia"/>
                <w:b/>
                <w:bCs/>
                <w:szCs w:val="21"/>
              </w:rPr>
              <w:t>1</w:t>
            </w:r>
            <w:r>
              <w:rPr>
                <w:rFonts w:ascii="Times New Roman" w:hAnsi="Times New Roman"/>
                <w:b/>
                <w:bCs/>
                <w:szCs w:val="21"/>
              </w:rPr>
              <w:t>4</w:t>
            </w:r>
            <w:r>
              <w:rPr>
                <w:rFonts w:ascii="Times New Roman" w:hAnsi="Times New Roman" w:hint="eastAsia"/>
                <w:b/>
                <w:bCs/>
                <w:szCs w:val="21"/>
              </w:rPr>
              <w:t>:</w:t>
            </w:r>
            <w:r>
              <w:rPr>
                <w:rFonts w:ascii="Times New Roman" w:hAnsi="Times New Roman"/>
                <w:b/>
                <w:bCs/>
                <w:szCs w:val="21"/>
              </w:rPr>
              <w:t>3</w:t>
            </w:r>
            <w:r>
              <w:rPr>
                <w:rFonts w:ascii="Times New Roman" w:hAnsi="Times New Roman" w:hint="eastAsia"/>
                <w:b/>
                <w:bCs/>
                <w:szCs w:val="21"/>
              </w:rPr>
              <w:t>0-16:</w:t>
            </w:r>
            <w:r>
              <w:rPr>
                <w:rFonts w:ascii="Times New Roman" w:hAnsi="Times New Roman"/>
                <w:b/>
                <w:bCs/>
                <w:szCs w:val="21"/>
              </w:rPr>
              <w:t>3</w:t>
            </w:r>
            <w:r>
              <w:rPr>
                <w:rFonts w:ascii="Times New Roman" w:hAnsi="Times New Roman" w:hint="eastAsia"/>
                <w:b/>
                <w:bCs/>
                <w:szCs w:val="21"/>
              </w:rPr>
              <w:t xml:space="preserve">0  </w:t>
            </w:r>
            <w:r>
              <w:rPr>
                <w:rFonts w:ascii="Times New Roman" w:hAnsi="Times New Roman" w:hint="eastAsia"/>
                <w:b/>
                <w:bCs/>
                <w:szCs w:val="21"/>
              </w:rPr>
              <w:t>现场</w:t>
            </w:r>
            <w:r>
              <w:rPr>
                <w:rFonts w:ascii="Times New Roman" w:hAnsi="Times New Roman"/>
                <w:b/>
                <w:bCs/>
                <w:szCs w:val="21"/>
              </w:rPr>
              <w:t>交流会</w:t>
            </w:r>
            <w:r>
              <w:rPr>
                <w:rFonts w:ascii="Times New Roman" w:hAnsi="Times New Roman" w:hint="eastAsia"/>
                <w:b/>
                <w:bCs/>
                <w:szCs w:val="21"/>
              </w:rPr>
              <w:t>及</w:t>
            </w:r>
            <w:r>
              <w:rPr>
                <w:rFonts w:ascii="Times New Roman" w:hAnsi="Times New Roman"/>
                <w:b/>
                <w:bCs/>
                <w:szCs w:val="21"/>
              </w:rPr>
              <w:t>网络互动</w:t>
            </w:r>
          </w:p>
          <w:p w:rsidR="003F6CE6" w:rsidRDefault="000340F8">
            <w:pPr>
              <w:pStyle w:val="a4"/>
              <w:spacing w:after="0" w:line="360" w:lineRule="exact"/>
              <w:ind w:firstLine="0"/>
              <w:jc w:val="left"/>
              <w:rPr>
                <w:rFonts w:ascii="Times New Roman" w:hAnsi="Times New Roman"/>
                <w:szCs w:val="21"/>
              </w:rPr>
            </w:pPr>
            <w:r>
              <w:rPr>
                <w:rFonts w:ascii="Times New Roman" w:hAnsi="Times New Roman" w:hint="eastAsia"/>
                <w:szCs w:val="21"/>
              </w:rPr>
              <w:t>中泰证券戴志锋</w:t>
            </w:r>
            <w:r>
              <w:rPr>
                <w:rFonts w:ascii="Times New Roman" w:hAnsi="Times New Roman"/>
                <w:szCs w:val="21"/>
              </w:rPr>
              <w:t>、</w:t>
            </w:r>
            <w:r>
              <w:rPr>
                <w:rFonts w:ascii="Times New Roman" w:hAnsi="Times New Roman" w:hint="eastAsia"/>
                <w:szCs w:val="21"/>
              </w:rPr>
              <w:t>邓美君，中信证券肖斐斐，广发证券倪军，兴业证券陈绍兴，长江证券马祥云，浙商证券梁凤洁、徐安妮，信达证券张晓辉，银河证券张一纬、袁世麟，华安证券刘锦慧，大成基金林起渠、石丽君、张甘甜、冷原，华创证券贾靖，国盛证券陈惠琴，国联证券资管黄丰，华泰柏瑞刘芷冰，国泰海通证券刘源，招商证券文雪阳，华福证券付思雨，东兴证券田馨宇，国君资管朱晨曦，长信基金吴廷华，国海证券徐凝碧，兴宝国际信托张海涛，工银理财彭梦圆，华夏基金王君正，光大证券孙相绪，华泰证券李润凌，交银施罗德基金王凯，易方达基金刘淑霞等</w:t>
            </w:r>
          </w:p>
        </w:tc>
      </w:tr>
      <w:tr w:rsidR="003F6CE6">
        <w:trPr>
          <w:trHeight w:val="90"/>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3F6CE6" w:rsidRDefault="000340F8">
            <w:pPr>
              <w:spacing w:after="60" w:line="360" w:lineRule="exact"/>
              <w:rPr>
                <w:rFonts w:ascii="Times New Roman" w:hAnsi="Times New Roman"/>
                <w:b/>
                <w:bCs/>
                <w:szCs w:val="21"/>
              </w:rPr>
            </w:pPr>
            <w:r>
              <w:rPr>
                <w:rFonts w:ascii="Times New Roman" w:hAnsi="Times New Roman"/>
                <w:b/>
                <w:bCs/>
                <w:szCs w:val="21"/>
              </w:rPr>
              <w:t>地点</w:t>
            </w:r>
          </w:p>
        </w:tc>
        <w:tc>
          <w:tcPr>
            <w:tcW w:w="73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F6CE6" w:rsidRDefault="000340F8">
            <w:pPr>
              <w:spacing w:after="60" w:line="400" w:lineRule="exact"/>
              <w:rPr>
                <w:rFonts w:ascii="Times New Roman" w:hAnsi="Times New Roman"/>
                <w:szCs w:val="21"/>
              </w:rPr>
            </w:pPr>
            <w:r>
              <w:rPr>
                <w:rFonts w:ascii="Times New Roman" w:hAnsi="Times New Roman"/>
                <w:szCs w:val="21"/>
              </w:rPr>
              <w:t>齐鲁银行总行大</w:t>
            </w:r>
            <w:r>
              <w:rPr>
                <w:rFonts w:ascii="Times New Roman" w:hAnsi="Times New Roman"/>
                <w:szCs w:val="21"/>
              </w:rPr>
              <w:t>厦会议室</w:t>
            </w:r>
          </w:p>
        </w:tc>
      </w:tr>
      <w:tr w:rsidR="003F6CE6">
        <w:trPr>
          <w:trHeight w:val="90"/>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3F6CE6" w:rsidRDefault="000340F8">
            <w:pPr>
              <w:spacing w:line="360" w:lineRule="exact"/>
              <w:rPr>
                <w:rFonts w:ascii="Times New Roman" w:hAnsi="Times New Roman"/>
                <w:b/>
                <w:bCs/>
                <w:szCs w:val="21"/>
              </w:rPr>
            </w:pPr>
            <w:r>
              <w:rPr>
                <w:rFonts w:ascii="Times New Roman" w:hAnsi="Times New Roman"/>
                <w:b/>
                <w:bCs/>
                <w:szCs w:val="21"/>
              </w:rPr>
              <w:t>上市公司</w:t>
            </w:r>
          </w:p>
          <w:p w:rsidR="003F6CE6" w:rsidRDefault="000340F8">
            <w:pPr>
              <w:spacing w:after="60" w:line="360" w:lineRule="exact"/>
              <w:rPr>
                <w:rFonts w:ascii="Times New Roman" w:hAnsi="Times New Roman"/>
                <w:b/>
                <w:bCs/>
                <w:szCs w:val="21"/>
              </w:rPr>
            </w:pPr>
            <w:r>
              <w:rPr>
                <w:rFonts w:ascii="Times New Roman" w:hAnsi="Times New Roman"/>
                <w:b/>
                <w:bCs/>
                <w:szCs w:val="21"/>
              </w:rPr>
              <w:t>出席人员</w:t>
            </w:r>
          </w:p>
        </w:tc>
        <w:tc>
          <w:tcPr>
            <w:tcW w:w="73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F6CE6" w:rsidRDefault="000340F8">
            <w:pPr>
              <w:spacing w:after="60" w:line="360" w:lineRule="exact"/>
              <w:rPr>
                <w:rFonts w:ascii="Times New Roman" w:hAnsi="Times New Roman"/>
                <w:szCs w:val="21"/>
                <w:highlight w:val="cyan"/>
              </w:rPr>
            </w:pPr>
            <w:r>
              <w:rPr>
                <w:rFonts w:ascii="Times New Roman" w:hAnsi="Times New Roman" w:hint="eastAsia"/>
                <w:szCs w:val="21"/>
              </w:rPr>
              <w:t>行长</w:t>
            </w:r>
            <w:r>
              <w:rPr>
                <w:rFonts w:ascii="Times New Roman" w:hAnsi="Times New Roman"/>
                <w:szCs w:val="21"/>
              </w:rPr>
              <w:t>张华，</w:t>
            </w:r>
            <w:r>
              <w:rPr>
                <w:rFonts w:ascii="Times New Roman" w:hAnsi="Times New Roman" w:hint="eastAsia"/>
                <w:szCs w:val="21"/>
              </w:rPr>
              <w:t>副行长、董事会秘书胡金良，证券</w:t>
            </w:r>
            <w:r>
              <w:rPr>
                <w:rFonts w:ascii="Times New Roman" w:hAnsi="Times New Roman"/>
                <w:szCs w:val="21"/>
              </w:rPr>
              <w:t>事务代表张贝旎，</w:t>
            </w:r>
            <w:r>
              <w:rPr>
                <w:rFonts w:ascii="Times New Roman" w:hAnsi="Times New Roman" w:hint="eastAsia"/>
                <w:szCs w:val="21"/>
              </w:rPr>
              <w:t>以及公司银行部、金融市场部、资产</w:t>
            </w:r>
            <w:r>
              <w:rPr>
                <w:rFonts w:ascii="Times New Roman" w:hAnsi="Times New Roman"/>
                <w:szCs w:val="21"/>
              </w:rPr>
              <w:t>管理部、</w:t>
            </w:r>
            <w:r>
              <w:rPr>
                <w:rFonts w:ascii="Times New Roman" w:hAnsi="Times New Roman" w:hint="eastAsia"/>
                <w:szCs w:val="21"/>
              </w:rPr>
              <w:t>零售</w:t>
            </w:r>
            <w:r>
              <w:rPr>
                <w:rFonts w:ascii="Times New Roman" w:hAnsi="Times New Roman"/>
                <w:szCs w:val="21"/>
              </w:rPr>
              <w:t>银行部、</w:t>
            </w:r>
            <w:r>
              <w:rPr>
                <w:rFonts w:ascii="Times New Roman" w:hAnsi="Times New Roman" w:hint="eastAsia"/>
                <w:szCs w:val="21"/>
              </w:rPr>
              <w:t>个人信贷部、普惠金融部、风险管理部、计财部、董事会办公室相关人员</w:t>
            </w:r>
          </w:p>
        </w:tc>
      </w:tr>
      <w:tr w:rsidR="003F6CE6">
        <w:trPr>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3F6CE6" w:rsidRDefault="000340F8">
            <w:pPr>
              <w:spacing w:line="360" w:lineRule="exact"/>
              <w:rPr>
                <w:rFonts w:ascii="Times New Roman" w:hAnsi="Times New Roman"/>
                <w:b/>
                <w:bCs/>
                <w:szCs w:val="21"/>
              </w:rPr>
            </w:pPr>
            <w:r>
              <w:rPr>
                <w:rFonts w:ascii="Times New Roman" w:hAnsi="Times New Roman"/>
                <w:b/>
                <w:bCs/>
                <w:szCs w:val="21"/>
              </w:rPr>
              <w:t>投资者关系活动记录</w:t>
            </w:r>
          </w:p>
        </w:tc>
        <w:tc>
          <w:tcPr>
            <w:tcW w:w="73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F6CE6" w:rsidRDefault="000340F8">
            <w:pPr>
              <w:pStyle w:val="a4"/>
              <w:spacing w:after="0" w:line="360" w:lineRule="exact"/>
              <w:ind w:firstLineChars="200" w:firstLine="422"/>
              <w:rPr>
                <w:rFonts w:ascii="Times New Roman" w:hAnsi="Times New Roman"/>
                <w:b/>
                <w:bCs/>
              </w:rPr>
            </w:pPr>
            <w:r>
              <w:rPr>
                <w:rFonts w:ascii="Times New Roman" w:hAnsi="Times New Roman" w:hint="eastAsia"/>
                <w:b/>
                <w:bCs/>
              </w:rPr>
              <w:t xml:space="preserve">1. </w:t>
            </w:r>
            <w:r>
              <w:rPr>
                <w:rFonts w:ascii="Times New Roman" w:hAnsi="Times New Roman" w:hint="eastAsia"/>
                <w:b/>
                <w:bCs/>
              </w:rPr>
              <w:t>今年信贷</w:t>
            </w:r>
            <w:r>
              <w:rPr>
                <w:rFonts w:ascii="Times New Roman" w:hAnsi="Times New Roman"/>
                <w:b/>
                <w:bCs/>
              </w:rPr>
              <w:t>投放</w:t>
            </w:r>
            <w:r>
              <w:rPr>
                <w:rFonts w:ascii="Times New Roman" w:hAnsi="Times New Roman" w:hint="eastAsia"/>
                <w:b/>
                <w:bCs/>
              </w:rPr>
              <w:t>进展</w:t>
            </w:r>
            <w:r>
              <w:rPr>
                <w:rFonts w:ascii="Times New Roman" w:hAnsi="Times New Roman"/>
                <w:b/>
                <w:bCs/>
              </w:rPr>
              <w:t>和规划</w:t>
            </w:r>
            <w:r>
              <w:rPr>
                <w:rFonts w:ascii="Times New Roman" w:hAnsi="Times New Roman" w:hint="eastAsia"/>
                <w:b/>
                <w:bCs/>
              </w:rPr>
              <w:t>？</w:t>
            </w:r>
          </w:p>
          <w:p w:rsidR="003F6CE6" w:rsidRDefault="000340F8">
            <w:pPr>
              <w:pStyle w:val="a4"/>
              <w:spacing w:after="0" w:line="360" w:lineRule="exact"/>
              <w:ind w:firstLineChars="200" w:firstLine="420"/>
              <w:rPr>
                <w:rFonts w:ascii="Times New Roman" w:hAnsi="Times New Roman"/>
              </w:rPr>
            </w:pPr>
            <w:r>
              <w:rPr>
                <w:rFonts w:ascii="Times New Roman" w:hAnsi="Times New Roman" w:hint="eastAsia"/>
              </w:rPr>
              <w:t>答：本行积极应对市场变化，紧跟国家和省市战略部署，持之以恒抓好贷款投放。</w:t>
            </w:r>
            <w:r>
              <w:rPr>
                <w:rFonts w:ascii="Times New Roman" w:hAnsi="Times New Roman" w:hint="eastAsia"/>
                <w:b/>
              </w:rPr>
              <w:t>一是继续夯实对公业务战略支柱作用</w:t>
            </w:r>
            <w:r>
              <w:rPr>
                <w:rFonts w:ascii="Times New Roman" w:hAnsi="Times New Roman" w:hint="eastAsia"/>
              </w:rPr>
              <w:t>，深入推进对公产业专精研究，加大对新型制造业、重点基础设施、科技创新、绿色金融、普惠金融、乡村振兴等领域支持力度，发力省属国企、上市及拟上市公司、民营百强企业及县域优质客群，保持对公信贷投放稳健增长。</w:t>
            </w:r>
            <w:r>
              <w:rPr>
                <w:rFonts w:ascii="Times New Roman" w:hAnsi="Times New Roman" w:hint="eastAsia"/>
                <w:b/>
              </w:rPr>
              <w:t>二是全面推进零售“二次转型”战略</w:t>
            </w:r>
            <w:r>
              <w:rPr>
                <w:rFonts w:ascii="Times New Roman" w:hAnsi="Times New Roman" w:hint="eastAsia"/>
              </w:rPr>
              <w:t>，加大消费贷款拓展力度，调优个贷业务结构；实施客户分层分群，差异化匹配产品、授信策略、营销渠道等，加大批量化、场景化获客力度，推动个贷业务实现高质量发展。</w:t>
            </w:r>
            <w:r>
              <w:rPr>
                <w:rFonts w:ascii="Times New Roman" w:hAnsi="Times New Roman" w:hint="eastAsia"/>
              </w:rPr>
              <w:t>2025</w:t>
            </w:r>
            <w:r>
              <w:rPr>
                <w:rFonts w:ascii="Times New Roman" w:hAnsi="Times New Roman" w:hint="eastAsia"/>
              </w:rPr>
              <w:t>年一季度，本行贷款总额较年初增长</w:t>
            </w:r>
            <w:r>
              <w:rPr>
                <w:rFonts w:ascii="Times New Roman" w:hAnsi="Times New Roman" w:hint="eastAsia"/>
              </w:rPr>
              <w:t>6.09%</w:t>
            </w:r>
            <w:r>
              <w:rPr>
                <w:rFonts w:ascii="Times New Roman" w:hAnsi="Times New Roman" w:hint="eastAsia"/>
              </w:rPr>
              <w:t>，增量创历年同期新高，发展态势稳中向好</w:t>
            </w:r>
            <w:r>
              <w:rPr>
                <w:rFonts w:ascii="Times New Roman" w:hAnsi="Times New Roman" w:hint="eastAsia"/>
              </w:rPr>
              <w:t>，</w:t>
            </w:r>
            <w:r>
              <w:rPr>
                <w:rFonts w:ascii="Times New Roman" w:hAnsi="Times New Roman" w:hint="eastAsia"/>
              </w:rPr>
              <w:t>全年信贷投放预计保持均衡增长。</w:t>
            </w:r>
          </w:p>
          <w:p w:rsidR="003F6CE6" w:rsidRDefault="000340F8">
            <w:pPr>
              <w:pStyle w:val="a4"/>
              <w:spacing w:after="0" w:line="360" w:lineRule="exact"/>
              <w:ind w:firstLineChars="200" w:firstLine="422"/>
              <w:rPr>
                <w:rFonts w:ascii="Times New Roman" w:hAnsi="Times New Roman"/>
                <w:b/>
                <w:bCs/>
              </w:rPr>
            </w:pPr>
            <w:r>
              <w:rPr>
                <w:rFonts w:ascii="Times New Roman" w:hAnsi="Times New Roman" w:hint="eastAsia"/>
                <w:b/>
                <w:bCs/>
              </w:rPr>
              <w:t>2.</w:t>
            </w:r>
            <w:r>
              <w:rPr>
                <w:rFonts w:ascii="Times New Roman" w:hAnsi="Times New Roman" w:hint="eastAsia"/>
                <w:b/>
                <w:bCs/>
              </w:rPr>
              <w:t>关注到贵行资产质量</w:t>
            </w:r>
            <w:r>
              <w:rPr>
                <w:rFonts w:ascii="Times New Roman" w:hAnsi="Times New Roman"/>
                <w:b/>
                <w:bCs/>
              </w:rPr>
              <w:t>持续</w:t>
            </w:r>
            <w:r>
              <w:rPr>
                <w:rFonts w:ascii="Times New Roman" w:hAnsi="Times New Roman" w:hint="eastAsia"/>
                <w:b/>
                <w:bCs/>
              </w:rPr>
              <w:t>向好</w:t>
            </w:r>
            <w:r>
              <w:rPr>
                <w:rFonts w:ascii="Times New Roman" w:hAnsi="Times New Roman"/>
                <w:b/>
                <w:bCs/>
              </w:rPr>
              <w:t>，无存量风险包袱且新</w:t>
            </w:r>
            <w:r>
              <w:rPr>
                <w:rFonts w:ascii="Times New Roman" w:hAnsi="Times New Roman" w:hint="eastAsia"/>
                <w:b/>
                <w:bCs/>
              </w:rPr>
              <w:t>业务</w:t>
            </w:r>
            <w:r>
              <w:rPr>
                <w:rFonts w:ascii="Times New Roman" w:hAnsi="Times New Roman"/>
                <w:b/>
                <w:bCs/>
              </w:rPr>
              <w:t>不良生成</w:t>
            </w:r>
            <w:r>
              <w:rPr>
                <w:rFonts w:ascii="Times New Roman" w:hAnsi="Times New Roman" w:hint="eastAsia"/>
                <w:b/>
                <w:bCs/>
              </w:rPr>
              <w:t>较</w:t>
            </w:r>
            <w:r>
              <w:rPr>
                <w:rFonts w:ascii="Times New Roman" w:hAnsi="Times New Roman"/>
                <w:b/>
                <w:bCs/>
              </w:rPr>
              <w:t>低，</w:t>
            </w:r>
            <w:r>
              <w:rPr>
                <w:rFonts w:ascii="Times New Roman" w:hAnsi="Times New Roman" w:hint="eastAsia"/>
                <w:b/>
                <w:bCs/>
              </w:rPr>
              <w:t>未来</w:t>
            </w:r>
            <w:r>
              <w:rPr>
                <w:rFonts w:ascii="Times New Roman" w:hAnsi="Times New Roman"/>
                <w:b/>
                <w:bCs/>
              </w:rPr>
              <w:t>能否继续维持？</w:t>
            </w:r>
          </w:p>
          <w:p w:rsidR="003F6CE6" w:rsidRDefault="000340F8">
            <w:pPr>
              <w:pStyle w:val="a4"/>
              <w:spacing w:line="360" w:lineRule="exact"/>
              <w:ind w:firstLineChars="200" w:firstLine="420"/>
              <w:rPr>
                <w:rFonts w:ascii="Times New Roman" w:hAnsi="Times New Roman"/>
              </w:rPr>
            </w:pPr>
            <w:r>
              <w:rPr>
                <w:rFonts w:ascii="Times New Roman" w:hAnsi="Times New Roman" w:hint="eastAsia"/>
              </w:rPr>
              <w:t>答：</w:t>
            </w:r>
            <w:r>
              <w:rPr>
                <w:rFonts w:ascii="Times New Roman" w:hAnsi="Times New Roman" w:hint="eastAsia"/>
              </w:rPr>
              <w:t>2024</w:t>
            </w:r>
            <w:r>
              <w:rPr>
                <w:rFonts w:ascii="Times New Roman" w:hAnsi="Times New Roman" w:hint="eastAsia"/>
              </w:rPr>
              <w:t>年，本行持续强化信用风险的主动和前瞻性管理，纵深推进信贷结构调整，加大潜在风险业务主动退出力度，健全精细化管控措施，提高存量风险业务的出清质效，资产质量稳中向好。截至</w:t>
            </w:r>
            <w:r>
              <w:rPr>
                <w:rFonts w:ascii="Times New Roman" w:hAnsi="Times New Roman" w:hint="eastAsia"/>
              </w:rPr>
              <w:t>2024</w:t>
            </w:r>
            <w:r>
              <w:rPr>
                <w:rFonts w:ascii="Times New Roman" w:hAnsi="Times New Roman" w:hint="eastAsia"/>
              </w:rPr>
              <w:t>年末，不良贷款率</w:t>
            </w:r>
            <w:r>
              <w:rPr>
                <w:rFonts w:ascii="Times New Roman" w:hAnsi="Times New Roman" w:hint="eastAsia"/>
              </w:rPr>
              <w:t>1.19%</w:t>
            </w:r>
            <w:r>
              <w:rPr>
                <w:rFonts w:ascii="Times New Roman" w:hAnsi="Times New Roman" w:hint="eastAsia"/>
              </w:rPr>
              <w:t>，较上年末下降</w:t>
            </w:r>
            <w:r>
              <w:rPr>
                <w:rFonts w:ascii="Times New Roman" w:hAnsi="Times New Roman" w:hint="eastAsia"/>
              </w:rPr>
              <w:t>0.07</w:t>
            </w:r>
            <w:r>
              <w:rPr>
                <w:rFonts w:ascii="Times New Roman" w:hAnsi="Times New Roman" w:hint="eastAsia"/>
              </w:rPr>
              <w:t>个百分点；关注类贷款占比</w:t>
            </w:r>
            <w:r>
              <w:rPr>
                <w:rFonts w:ascii="Times New Roman" w:hAnsi="Times New Roman" w:hint="eastAsia"/>
              </w:rPr>
              <w:t>1.07%</w:t>
            </w:r>
            <w:r>
              <w:rPr>
                <w:rFonts w:ascii="Times New Roman" w:hAnsi="Times New Roman" w:hint="eastAsia"/>
              </w:rPr>
              <w:t>，较上年末下降</w:t>
            </w:r>
            <w:r>
              <w:rPr>
                <w:rFonts w:ascii="Times New Roman" w:hAnsi="Times New Roman" w:hint="eastAsia"/>
              </w:rPr>
              <w:t>0.31</w:t>
            </w:r>
            <w:r>
              <w:rPr>
                <w:rFonts w:ascii="Times New Roman" w:hAnsi="Times New Roman" w:hint="eastAsia"/>
              </w:rPr>
              <w:t>个百分点；逾期贷款占比</w:t>
            </w:r>
            <w:r>
              <w:rPr>
                <w:rFonts w:ascii="Times New Roman" w:hAnsi="Times New Roman" w:hint="eastAsia"/>
              </w:rPr>
              <w:t>0.98%</w:t>
            </w:r>
            <w:r>
              <w:rPr>
                <w:rFonts w:ascii="Times New Roman" w:hAnsi="Times New Roman" w:hint="eastAsia"/>
              </w:rPr>
              <w:t>，较上年末下降</w:t>
            </w:r>
            <w:r>
              <w:rPr>
                <w:rFonts w:ascii="Times New Roman" w:hAnsi="Times New Roman" w:hint="eastAsia"/>
              </w:rPr>
              <w:t>0.02</w:t>
            </w:r>
            <w:r>
              <w:rPr>
                <w:rFonts w:ascii="Times New Roman" w:hAnsi="Times New Roman" w:hint="eastAsia"/>
              </w:rPr>
              <w:t>个百分点。</w:t>
            </w:r>
          </w:p>
          <w:p w:rsidR="003F6CE6" w:rsidRDefault="000340F8">
            <w:pPr>
              <w:pStyle w:val="a4"/>
              <w:spacing w:after="0" w:line="360" w:lineRule="exact"/>
              <w:ind w:firstLineChars="200" w:firstLine="420"/>
              <w:rPr>
                <w:rFonts w:ascii="Times New Roman" w:hAnsi="Times New Roman"/>
              </w:rPr>
            </w:pPr>
            <w:r>
              <w:rPr>
                <w:rFonts w:ascii="Times New Roman" w:hAnsi="Times New Roman" w:hint="eastAsia"/>
              </w:rPr>
              <w:lastRenderedPageBreak/>
              <w:t>今年以来，本行持续完善全面风险管理体系，不断提升识别、防范、化解、处置各类风险的能力，深入落实“双名单”客户管理，分层分类制定监测、排查、处置策略，加大重点领域、重点客户管控力度；优化迭代风险预警模型，完善风险监测识别策略，提高数字化风控能力。截至</w:t>
            </w:r>
            <w:r>
              <w:rPr>
                <w:rFonts w:ascii="Times New Roman" w:hAnsi="Times New Roman" w:hint="eastAsia"/>
              </w:rPr>
              <w:t>2025</w:t>
            </w:r>
            <w:r>
              <w:rPr>
                <w:rFonts w:ascii="Times New Roman" w:hAnsi="Times New Roman" w:hint="eastAsia"/>
              </w:rPr>
              <w:t>年一季度末，不良贷款率</w:t>
            </w:r>
            <w:r>
              <w:rPr>
                <w:rFonts w:ascii="Times New Roman" w:hAnsi="Times New Roman" w:hint="eastAsia"/>
              </w:rPr>
              <w:t>1.17%</w:t>
            </w:r>
            <w:r>
              <w:rPr>
                <w:rFonts w:ascii="Times New Roman" w:hAnsi="Times New Roman" w:hint="eastAsia"/>
              </w:rPr>
              <w:t>，较年初下降</w:t>
            </w:r>
            <w:r>
              <w:rPr>
                <w:rFonts w:ascii="Times New Roman" w:hAnsi="Times New Roman" w:hint="eastAsia"/>
              </w:rPr>
              <w:t>0.02</w:t>
            </w:r>
            <w:r>
              <w:rPr>
                <w:rFonts w:ascii="Times New Roman" w:hAnsi="Times New Roman" w:hint="eastAsia"/>
              </w:rPr>
              <w:t>个百分点；关注类贷款占比</w:t>
            </w:r>
            <w:r>
              <w:rPr>
                <w:rFonts w:ascii="Times New Roman" w:hAnsi="Times New Roman" w:hint="eastAsia"/>
              </w:rPr>
              <w:t>1.03%</w:t>
            </w:r>
            <w:r>
              <w:rPr>
                <w:rFonts w:ascii="Times New Roman" w:hAnsi="Times New Roman" w:hint="eastAsia"/>
              </w:rPr>
              <w:t>，较年初下降</w:t>
            </w:r>
            <w:r>
              <w:rPr>
                <w:rFonts w:ascii="Times New Roman" w:hAnsi="Times New Roman" w:hint="eastAsia"/>
              </w:rPr>
              <w:t>0.04</w:t>
            </w:r>
            <w:r>
              <w:rPr>
                <w:rFonts w:ascii="Times New Roman" w:hAnsi="Times New Roman" w:hint="eastAsia"/>
              </w:rPr>
              <w:t>个百分点，预计全年资产质量将保持平稳改善趋势。</w:t>
            </w:r>
          </w:p>
          <w:p w:rsidR="003F6CE6" w:rsidRDefault="000340F8">
            <w:pPr>
              <w:pStyle w:val="a4"/>
              <w:spacing w:after="0" w:line="360" w:lineRule="exact"/>
              <w:ind w:firstLineChars="200" w:firstLine="422"/>
              <w:rPr>
                <w:rFonts w:ascii="Times New Roman" w:hAnsi="Times New Roman"/>
                <w:b/>
                <w:bCs/>
              </w:rPr>
            </w:pPr>
            <w:r>
              <w:rPr>
                <w:rFonts w:ascii="Times New Roman" w:hAnsi="Times New Roman"/>
                <w:b/>
                <w:bCs/>
              </w:rPr>
              <w:t>3</w:t>
            </w:r>
            <w:r>
              <w:rPr>
                <w:rFonts w:ascii="Times New Roman" w:hAnsi="Times New Roman" w:hint="eastAsia"/>
                <w:b/>
                <w:bCs/>
              </w:rPr>
              <w:t>.</w:t>
            </w:r>
            <w:r>
              <w:rPr>
                <w:rFonts w:ascii="Times New Roman" w:hAnsi="Times New Roman" w:hint="eastAsia"/>
                <w:b/>
                <w:bCs/>
              </w:rPr>
              <w:t>山东省县域经济发达，为你们带来哪些市场机遇，未来在县域金融方面有什么规划？</w:t>
            </w:r>
          </w:p>
          <w:p w:rsidR="003F6CE6" w:rsidRDefault="000340F8">
            <w:pPr>
              <w:pStyle w:val="a4"/>
              <w:spacing w:after="40" w:line="360" w:lineRule="exact"/>
              <w:ind w:firstLineChars="200" w:firstLine="420"/>
              <w:rPr>
                <w:rFonts w:ascii="Times New Roman" w:hAnsi="Times New Roman"/>
              </w:rPr>
            </w:pPr>
            <w:r>
              <w:rPr>
                <w:rFonts w:ascii="Times New Roman" w:hAnsi="Times New Roman" w:hint="eastAsia"/>
              </w:rPr>
              <w:t>答：山东省县域产业优势</w:t>
            </w:r>
            <w:r>
              <w:rPr>
                <w:rFonts w:ascii="Times New Roman" w:hAnsi="Times New Roman" w:hint="eastAsia"/>
              </w:rPr>
              <w:t>突出，乡村振兴战略深入实施和新型城镇化加速推进为银行业发展提供了广阔空间。本行持续深耕县域市场，县域金融业务贡献度不断提高，</w:t>
            </w:r>
            <w:r>
              <w:rPr>
                <w:rFonts w:ascii="Times New Roman" w:hAnsi="Times New Roman" w:hint="eastAsia"/>
              </w:rPr>
              <w:t>2024</w:t>
            </w:r>
            <w:r>
              <w:rPr>
                <w:rFonts w:ascii="Times New Roman" w:hAnsi="Times New Roman" w:hint="eastAsia"/>
              </w:rPr>
              <w:t>年末，县域支行数量达到</w:t>
            </w:r>
            <w:r>
              <w:rPr>
                <w:rFonts w:ascii="Times New Roman" w:hAnsi="Times New Roman" w:hint="eastAsia"/>
              </w:rPr>
              <w:t>83</w:t>
            </w:r>
            <w:r>
              <w:rPr>
                <w:rFonts w:ascii="Times New Roman" w:hAnsi="Times New Roman" w:hint="eastAsia"/>
              </w:rPr>
              <w:t>家，县域支行存款余额</w:t>
            </w:r>
            <w:r>
              <w:rPr>
                <w:rFonts w:ascii="Times New Roman" w:hAnsi="Times New Roman" w:hint="eastAsia"/>
              </w:rPr>
              <w:t>1,344.14</w:t>
            </w:r>
            <w:r>
              <w:rPr>
                <w:rFonts w:ascii="Times New Roman" w:hAnsi="Times New Roman" w:hint="eastAsia"/>
              </w:rPr>
              <w:t>亿元，较上年末增长</w:t>
            </w:r>
            <w:r>
              <w:rPr>
                <w:rFonts w:ascii="Times New Roman" w:hAnsi="Times New Roman" w:hint="eastAsia"/>
              </w:rPr>
              <w:t>16.87%</w:t>
            </w:r>
            <w:r>
              <w:rPr>
                <w:rFonts w:ascii="Times New Roman" w:hAnsi="Times New Roman" w:hint="eastAsia"/>
              </w:rPr>
              <w:t>；贷款余额</w:t>
            </w:r>
            <w:r>
              <w:rPr>
                <w:rFonts w:ascii="Times New Roman" w:hAnsi="Times New Roman" w:hint="eastAsia"/>
              </w:rPr>
              <w:t>999.33</w:t>
            </w:r>
            <w:r>
              <w:rPr>
                <w:rFonts w:ascii="Times New Roman" w:hAnsi="Times New Roman" w:hint="eastAsia"/>
              </w:rPr>
              <w:t>亿元，较上年末增长</w:t>
            </w:r>
            <w:r>
              <w:rPr>
                <w:rFonts w:ascii="Times New Roman" w:hAnsi="Times New Roman" w:hint="eastAsia"/>
              </w:rPr>
              <w:t>15.49%</w:t>
            </w:r>
            <w:r>
              <w:rPr>
                <w:rFonts w:ascii="Times New Roman" w:hAnsi="Times New Roman" w:hint="eastAsia"/>
              </w:rPr>
              <w:t>；县域客户数达到</w:t>
            </w:r>
            <w:r>
              <w:rPr>
                <w:rFonts w:ascii="Times New Roman" w:hAnsi="Times New Roman" w:hint="eastAsia"/>
              </w:rPr>
              <w:t>224.51</w:t>
            </w:r>
            <w:r>
              <w:rPr>
                <w:rFonts w:ascii="Times New Roman" w:hAnsi="Times New Roman" w:hint="eastAsia"/>
              </w:rPr>
              <w:t>万户，较上年末增长</w:t>
            </w:r>
            <w:r>
              <w:rPr>
                <w:rFonts w:ascii="Times New Roman" w:hAnsi="Times New Roman" w:hint="eastAsia"/>
              </w:rPr>
              <w:t>13.05%</w:t>
            </w:r>
            <w:r>
              <w:rPr>
                <w:rFonts w:ascii="Times New Roman" w:hAnsi="Times New Roman" w:hint="eastAsia"/>
              </w:rPr>
              <w:t>。未来，本行将全面深化城乡联动发展战略，“机构布局、人才建设、产品创新、机制优化”四位一体，系统推进资源禀赋和城市金融服务优势向县域延伸，不断开拓县域业务版图，提升市场竞争力，一</w:t>
            </w:r>
            <w:r>
              <w:rPr>
                <w:rFonts w:ascii="Times New Roman" w:hAnsi="Times New Roman" w:hint="eastAsia"/>
              </w:rPr>
              <w:t>是完善县域服务网络布局，加快实现山东省县级行政区机构网点全覆盖；二是实施县域金融英才专项培育计划，打造高素质、专业化的金融服务团队；三是打造“一县多品”产业链融资服务模式，增强对县乡特色产业集群的精准支持能力；四是健全差异化考核评价和资源保障机制，全面激发县域支行发展活力，推动实现质量、规模、效益协调发展。</w:t>
            </w:r>
          </w:p>
        </w:tc>
      </w:tr>
      <w:tr w:rsidR="003F6CE6">
        <w:trPr>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3F6CE6" w:rsidRDefault="000340F8">
            <w:pPr>
              <w:spacing w:after="60" w:line="360" w:lineRule="exact"/>
              <w:rPr>
                <w:rFonts w:ascii="Times New Roman" w:hAnsi="Times New Roman"/>
                <w:bCs/>
                <w:iCs/>
                <w:szCs w:val="21"/>
              </w:rPr>
            </w:pPr>
            <w:r>
              <w:rPr>
                <w:rFonts w:ascii="Times New Roman" w:hAnsi="Times New Roman"/>
                <w:b/>
                <w:bCs/>
                <w:szCs w:val="21"/>
              </w:rPr>
              <w:lastRenderedPageBreak/>
              <w:t>资料清单</w:t>
            </w:r>
          </w:p>
        </w:tc>
        <w:tc>
          <w:tcPr>
            <w:tcW w:w="73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F6CE6" w:rsidRDefault="000340F8">
            <w:pPr>
              <w:spacing w:after="60" w:line="360" w:lineRule="exact"/>
              <w:rPr>
                <w:rFonts w:ascii="Times New Roman" w:hAnsi="Times New Roman"/>
                <w:bCs/>
                <w:iCs/>
                <w:szCs w:val="21"/>
              </w:rPr>
            </w:pPr>
            <w:r>
              <w:rPr>
                <w:rFonts w:ascii="Times New Roman" w:hAnsi="Times New Roman"/>
                <w:bCs/>
                <w:iCs/>
                <w:szCs w:val="21"/>
              </w:rPr>
              <w:t>无</w:t>
            </w:r>
          </w:p>
        </w:tc>
      </w:tr>
    </w:tbl>
    <w:p w:rsidR="003F6CE6" w:rsidRDefault="003F6CE6">
      <w:pPr>
        <w:widowControl/>
        <w:jc w:val="left"/>
        <w:rPr>
          <w:rFonts w:ascii="Times New Roman" w:hAnsi="Times New Roman"/>
          <w:sz w:val="2"/>
          <w:szCs w:val="6"/>
        </w:rPr>
      </w:pPr>
    </w:p>
    <w:sectPr w:rsidR="003F6CE6">
      <w:headerReference w:type="default" r:id="rId7"/>
      <w:footerReference w:type="default" r:id="rId8"/>
      <w:pgSz w:w="11906" w:h="16838"/>
      <w:pgMar w:top="1440" w:right="1797" w:bottom="1440" w:left="1797" w:header="737"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40F8">
      <w:r>
        <w:separator/>
      </w:r>
    </w:p>
  </w:endnote>
  <w:endnote w:type="continuationSeparator" w:id="0">
    <w:p w:rsidR="00000000" w:rsidRDefault="0003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CE6" w:rsidRDefault="000340F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6CE6" w:rsidRDefault="000340F8">
                          <w:pPr>
                            <w:pStyle w:val="a6"/>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F6CE6" w:rsidRDefault="000340F8">
                    <w:pPr>
                      <w:pStyle w:val="a6"/>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40F8">
      <w:r>
        <w:separator/>
      </w:r>
    </w:p>
  </w:footnote>
  <w:footnote w:type="continuationSeparator" w:id="0">
    <w:p w:rsidR="00000000" w:rsidRDefault="00034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CE6" w:rsidRDefault="003F6CE6">
    <w:pPr>
      <w:pStyle w:val="a7"/>
      <w:pBdr>
        <w:bottom w:val="none" w:sz="0" w:space="1" w:color="auto"/>
      </w:pBdr>
      <w:tabs>
        <w:tab w:val="clear" w:pos="415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iNjFlZTJlZmRhNWZjY2U2MWYwYWU0MjE3ZWMxNDAifQ=="/>
  </w:docVars>
  <w:rsids>
    <w:rsidRoot w:val="00BD1167"/>
    <w:rsid w:val="000011F0"/>
    <w:rsid w:val="000027DB"/>
    <w:rsid w:val="00002807"/>
    <w:rsid w:val="00003C5F"/>
    <w:rsid w:val="00004450"/>
    <w:rsid w:val="000163C5"/>
    <w:rsid w:val="0002108D"/>
    <w:rsid w:val="00021AB3"/>
    <w:rsid w:val="000327F7"/>
    <w:rsid w:val="000340F8"/>
    <w:rsid w:val="0003699D"/>
    <w:rsid w:val="00037382"/>
    <w:rsid w:val="00044A8C"/>
    <w:rsid w:val="000466D9"/>
    <w:rsid w:val="00050651"/>
    <w:rsid w:val="000557CB"/>
    <w:rsid w:val="00060EC2"/>
    <w:rsid w:val="0006462C"/>
    <w:rsid w:val="00074BDA"/>
    <w:rsid w:val="00075112"/>
    <w:rsid w:val="00086803"/>
    <w:rsid w:val="00087466"/>
    <w:rsid w:val="000935B7"/>
    <w:rsid w:val="000A194C"/>
    <w:rsid w:val="000A1F23"/>
    <w:rsid w:val="000A2747"/>
    <w:rsid w:val="000A33B3"/>
    <w:rsid w:val="000A425A"/>
    <w:rsid w:val="000B653A"/>
    <w:rsid w:val="000C3DD0"/>
    <w:rsid w:val="000C40DB"/>
    <w:rsid w:val="000D1C95"/>
    <w:rsid w:val="000D77E5"/>
    <w:rsid w:val="000E32FF"/>
    <w:rsid w:val="000F401F"/>
    <w:rsid w:val="000F5B41"/>
    <w:rsid w:val="000F5B64"/>
    <w:rsid w:val="00101ED7"/>
    <w:rsid w:val="00102F9D"/>
    <w:rsid w:val="00103B3B"/>
    <w:rsid w:val="00104152"/>
    <w:rsid w:val="00104EA0"/>
    <w:rsid w:val="0011242B"/>
    <w:rsid w:val="00113E0B"/>
    <w:rsid w:val="00121C9E"/>
    <w:rsid w:val="00130E2A"/>
    <w:rsid w:val="00135729"/>
    <w:rsid w:val="00136E8E"/>
    <w:rsid w:val="0015525B"/>
    <w:rsid w:val="001905A8"/>
    <w:rsid w:val="001913A7"/>
    <w:rsid w:val="001C20EA"/>
    <w:rsid w:val="001C5F3A"/>
    <w:rsid w:val="001E043B"/>
    <w:rsid w:val="001E48D4"/>
    <w:rsid w:val="001F7944"/>
    <w:rsid w:val="00201BC9"/>
    <w:rsid w:val="00205EE8"/>
    <w:rsid w:val="00212D4B"/>
    <w:rsid w:val="00213AFD"/>
    <w:rsid w:val="002210D3"/>
    <w:rsid w:val="00247CFA"/>
    <w:rsid w:val="00271581"/>
    <w:rsid w:val="00273CEF"/>
    <w:rsid w:val="00277B04"/>
    <w:rsid w:val="002915A4"/>
    <w:rsid w:val="00292FAC"/>
    <w:rsid w:val="002961B7"/>
    <w:rsid w:val="002A0533"/>
    <w:rsid w:val="002B19CB"/>
    <w:rsid w:val="002B3622"/>
    <w:rsid w:val="002B5758"/>
    <w:rsid w:val="002C75FB"/>
    <w:rsid w:val="002D37AB"/>
    <w:rsid w:val="002D398C"/>
    <w:rsid w:val="002D4F4A"/>
    <w:rsid w:val="002E35D8"/>
    <w:rsid w:val="002E3C08"/>
    <w:rsid w:val="002E7A42"/>
    <w:rsid w:val="002F127A"/>
    <w:rsid w:val="002F2072"/>
    <w:rsid w:val="002F4E1D"/>
    <w:rsid w:val="00302659"/>
    <w:rsid w:val="00303737"/>
    <w:rsid w:val="003058E9"/>
    <w:rsid w:val="0031008A"/>
    <w:rsid w:val="00322C99"/>
    <w:rsid w:val="0035341F"/>
    <w:rsid w:val="00382046"/>
    <w:rsid w:val="00386A5D"/>
    <w:rsid w:val="003900EB"/>
    <w:rsid w:val="003A1F6F"/>
    <w:rsid w:val="003A3F35"/>
    <w:rsid w:val="003A6FC4"/>
    <w:rsid w:val="003B6AE9"/>
    <w:rsid w:val="003C1DE8"/>
    <w:rsid w:val="003C34DC"/>
    <w:rsid w:val="003D31E1"/>
    <w:rsid w:val="003D4540"/>
    <w:rsid w:val="003E0DEE"/>
    <w:rsid w:val="003F5506"/>
    <w:rsid w:val="003F6CE6"/>
    <w:rsid w:val="00401509"/>
    <w:rsid w:val="00402317"/>
    <w:rsid w:val="00403DEC"/>
    <w:rsid w:val="00404E98"/>
    <w:rsid w:val="004065FA"/>
    <w:rsid w:val="00412B3C"/>
    <w:rsid w:val="00413365"/>
    <w:rsid w:val="004159FB"/>
    <w:rsid w:val="00422B11"/>
    <w:rsid w:val="00437123"/>
    <w:rsid w:val="00441362"/>
    <w:rsid w:val="004419F4"/>
    <w:rsid w:val="00445366"/>
    <w:rsid w:val="00446372"/>
    <w:rsid w:val="00446EE6"/>
    <w:rsid w:val="00450316"/>
    <w:rsid w:val="00450ACC"/>
    <w:rsid w:val="00464866"/>
    <w:rsid w:val="00470334"/>
    <w:rsid w:val="00470539"/>
    <w:rsid w:val="00474077"/>
    <w:rsid w:val="00474214"/>
    <w:rsid w:val="0048117D"/>
    <w:rsid w:val="00483C40"/>
    <w:rsid w:val="00485A3F"/>
    <w:rsid w:val="0049046A"/>
    <w:rsid w:val="0049080A"/>
    <w:rsid w:val="004939B9"/>
    <w:rsid w:val="0049650C"/>
    <w:rsid w:val="004C133C"/>
    <w:rsid w:val="004C4814"/>
    <w:rsid w:val="004C52AB"/>
    <w:rsid w:val="004D4840"/>
    <w:rsid w:val="004D5BEA"/>
    <w:rsid w:val="004E34B5"/>
    <w:rsid w:val="004E58DC"/>
    <w:rsid w:val="004E6966"/>
    <w:rsid w:val="004F1C65"/>
    <w:rsid w:val="004F1CC6"/>
    <w:rsid w:val="00505F8C"/>
    <w:rsid w:val="005074DA"/>
    <w:rsid w:val="0050763D"/>
    <w:rsid w:val="00520326"/>
    <w:rsid w:val="00524063"/>
    <w:rsid w:val="005242D2"/>
    <w:rsid w:val="00524966"/>
    <w:rsid w:val="005263C2"/>
    <w:rsid w:val="005443AF"/>
    <w:rsid w:val="00550EA7"/>
    <w:rsid w:val="00554042"/>
    <w:rsid w:val="005635F7"/>
    <w:rsid w:val="005652E1"/>
    <w:rsid w:val="00570A2E"/>
    <w:rsid w:val="00572275"/>
    <w:rsid w:val="005765A6"/>
    <w:rsid w:val="00580CA6"/>
    <w:rsid w:val="00583648"/>
    <w:rsid w:val="0058381F"/>
    <w:rsid w:val="00592B3B"/>
    <w:rsid w:val="0059677E"/>
    <w:rsid w:val="005A5599"/>
    <w:rsid w:val="005A737A"/>
    <w:rsid w:val="005A7AB1"/>
    <w:rsid w:val="005B3ADA"/>
    <w:rsid w:val="005C0F52"/>
    <w:rsid w:val="005C3996"/>
    <w:rsid w:val="005C5336"/>
    <w:rsid w:val="00600FFF"/>
    <w:rsid w:val="00607E8B"/>
    <w:rsid w:val="006153E2"/>
    <w:rsid w:val="006205A7"/>
    <w:rsid w:val="00620799"/>
    <w:rsid w:val="00622609"/>
    <w:rsid w:val="00625065"/>
    <w:rsid w:val="00625BE0"/>
    <w:rsid w:val="006343BA"/>
    <w:rsid w:val="00642946"/>
    <w:rsid w:val="00651314"/>
    <w:rsid w:val="00655CF7"/>
    <w:rsid w:val="006574FC"/>
    <w:rsid w:val="0066554C"/>
    <w:rsid w:val="00667887"/>
    <w:rsid w:val="00671A06"/>
    <w:rsid w:val="006808B8"/>
    <w:rsid w:val="00686BF4"/>
    <w:rsid w:val="00694273"/>
    <w:rsid w:val="006E166A"/>
    <w:rsid w:val="006F0744"/>
    <w:rsid w:val="006F31B9"/>
    <w:rsid w:val="00702654"/>
    <w:rsid w:val="00705400"/>
    <w:rsid w:val="00713549"/>
    <w:rsid w:val="00731179"/>
    <w:rsid w:val="007439F3"/>
    <w:rsid w:val="00750865"/>
    <w:rsid w:val="007508C8"/>
    <w:rsid w:val="00752E96"/>
    <w:rsid w:val="00754562"/>
    <w:rsid w:val="007608AC"/>
    <w:rsid w:val="0076502B"/>
    <w:rsid w:val="00767BDC"/>
    <w:rsid w:val="007756CB"/>
    <w:rsid w:val="00782DB2"/>
    <w:rsid w:val="0079344F"/>
    <w:rsid w:val="007A26CD"/>
    <w:rsid w:val="007A652A"/>
    <w:rsid w:val="007B356F"/>
    <w:rsid w:val="007B35FC"/>
    <w:rsid w:val="007B7AF5"/>
    <w:rsid w:val="007D4A9E"/>
    <w:rsid w:val="007D4AC0"/>
    <w:rsid w:val="007E02EA"/>
    <w:rsid w:val="007E5C95"/>
    <w:rsid w:val="007F007F"/>
    <w:rsid w:val="007F2ECD"/>
    <w:rsid w:val="008068FC"/>
    <w:rsid w:val="00814A69"/>
    <w:rsid w:val="00815C74"/>
    <w:rsid w:val="00817613"/>
    <w:rsid w:val="008204FE"/>
    <w:rsid w:val="00845C1E"/>
    <w:rsid w:val="00855986"/>
    <w:rsid w:val="0085799B"/>
    <w:rsid w:val="00860E21"/>
    <w:rsid w:val="00866464"/>
    <w:rsid w:val="00872123"/>
    <w:rsid w:val="00877A1E"/>
    <w:rsid w:val="00880EF2"/>
    <w:rsid w:val="008918FD"/>
    <w:rsid w:val="0089254E"/>
    <w:rsid w:val="008B1C89"/>
    <w:rsid w:val="008B2181"/>
    <w:rsid w:val="008B2A8E"/>
    <w:rsid w:val="008D1639"/>
    <w:rsid w:val="008D53C9"/>
    <w:rsid w:val="008E0985"/>
    <w:rsid w:val="008E1CA9"/>
    <w:rsid w:val="008E1ED9"/>
    <w:rsid w:val="008E3BA3"/>
    <w:rsid w:val="008F56B5"/>
    <w:rsid w:val="008F5F02"/>
    <w:rsid w:val="008F607C"/>
    <w:rsid w:val="008F7D33"/>
    <w:rsid w:val="009310BD"/>
    <w:rsid w:val="00933396"/>
    <w:rsid w:val="00933890"/>
    <w:rsid w:val="009357D5"/>
    <w:rsid w:val="00935F07"/>
    <w:rsid w:val="0093658F"/>
    <w:rsid w:val="009429CA"/>
    <w:rsid w:val="00943707"/>
    <w:rsid w:val="00960532"/>
    <w:rsid w:val="00963FE5"/>
    <w:rsid w:val="00975059"/>
    <w:rsid w:val="0098137A"/>
    <w:rsid w:val="009821D7"/>
    <w:rsid w:val="009931E3"/>
    <w:rsid w:val="00993974"/>
    <w:rsid w:val="00997D5D"/>
    <w:rsid w:val="009B4A4D"/>
    <w:rsid w:val="009C0F17"/>
    <w:rsid w:val="009C1366"/>
    <w:rsid w:val="009C5837"/>
    <w:rsid w:val="009C612C"/>
    <w:rsid w:val="009D1558"/>
    <w:rsid w:val="009D66D3"/>
    <w:rsid w:val="009D76D6"/>
    <w:rsid w:val="009E6D8E"/>
    <w:rsid w:val="009F1354"/>
    <w:rsid w:val="009F3634"/>
    <w:rsid w:val="009F5410"/>
    <w:rsid w:val="00A02EB5"/>
    <w:rsid w:val="00A13431"/>
    <w:rsid w:val="00A212C7"/>
    <w:rsid w:val="00A2258D"/>
    <w:rsid w:val="00A27F98"/>
    <w:rsid w:val="00A46E8D"/>
    <w:rsid w:val="00A55ECB"/>
    <w:rsid w:val="00A675C7"/>
    <w:rsid w:val="00A7063E"/>
    <w:rsid w:val="00A70D5E"/>
    <w:rsid w:val="00A72166"/>
    <w:rsid w:val="00A727C5"/>
    <w:rsid w:val="00A92973"/>
    <w:rsid w:val="00A94D7A"/>
    <w:rsid w:val="00AA040E"/>
    <w:rsid w:val="00AA0BC7"/>
    <w:rsid w:val="00AA1011"/>
    <w:rsid w:val="00AA3E75"/>
    <w:rsid w:val="00AA75C2"/>
    <w:rsid w:val="00AE31C3"/>
    <w:rsid w:val="00AF1AED"/>
    <w:rsid w:val="00AF2096"/>
    <w:rsid w:val="00AF4558"/>
    <w:rsid w:val="00B06FA1"/>
    <w:rsid w:val="00B26D8B"/>
    <w:rsid w:val="00B27221"/>
    <w:rsid w:val="00B30215"/>
    <w:rsid w:val="00B3268E"/>
    <w:rsid w:val="00B36D4F"/>
    <w:rsid w:val="00B44423"/>
    <w:rsid w:val="00B4597B"/>
    <w:rsid w:val="00B5182F"/>
    <w:rsid w:val="00B53CA8"/>
    <w:rsid w:val="00B54BDE"/>
    <w:rsid w:val="00B62D03"/>
    <w:rsid w:val="00B647E3"/>
    <w:rsid w:val="00B663BF"/>
    <w:rsid w:val="00B67800"/>
    <w:rsid w:val="00B70FB2"/>
    <w:rsid w:val="00B724A4"/>
    <w:rsid w:val="00B7283E"/>
    <w:rsid w:val="00B7635A"/>
    <w:rsid w:val="00B82417"/>
    <w:rsid w:val="00B87438"/>
    <w:rsid w:val="00B97B92"/>
    <w:rsid w:val="00BA023C"/>
    <w:rsid w:val="00BA277C"/>
    <w:rsid w:val="00BA72C6"/>
    <w:rsid w:val="00BB6EAD"/>
    <w:rsid w:val="00BC1818"/>
    <w:rsid w:val="00BC324F"/>
    <w:rsid w:val="00BC62A8"/>
    <w:rsid w:val="00BD1167"/>
    <w:rsid w:val="00BE7E1F"/>
    <w:rsid w:val="00BF6F26"/>
    <w:rsid w:val="00C00778"/>
    <w:rsid w:val="00C03AE3"/>
    <w:rsid w:val="00C05C68"/>
    <w:rsid w:val="00C06CC5"/>
    <w:rsid w:val="00C07E57"/>
    <w:rsid w:val="00C33F5A"/>
    <w:rsid w:val="00C34911"/>
    <w:rsid w:val="00C4427A"/>
    <w:rsid w:val="00C51DB9"/>
    <w:rsid w:val="00C5276A"/>
    <w:rsid w:val="00C72BCD"/>
    <w:rsid w:val="00C73691"/>
    <w:rsid w:val="00C76711"/>
    <w:rsid w:val="00C76E7D"/>
    <w:rsid w:val="00C7726C"/>
    <w:rsid w:val="00C82D31"/>
    <w:rsid w:val="00C96A5F"/>
    <w:rsid w:val="00CA4615"/>
    <w:rsid w:val="00CA5234"/>
    <w:rsid w:val="00CA7A8B"/>
    <w:rsid w:val="00CB3265"/>
    <w:rsid w:val="00CB361A"/>
    <w:rsid w:val="00CB49E7"/>
    <w:rsid w:val="00CC1F1D"/>
    <w:rsid w:val="00CC58EF"/>
    <w:rsid w:val="00CC6276"/>
    <w:rsid w:val="00CC7BFA"/>
    <w:rsid w:val="00CE2291"/>
    <w:rsid w:val="00CF7890"/>
    <w:rsid w:val="00D06582"/>
    <w:rsid w:val="00D11ECC"/>
    <w:rsid w:val="00D26144"/>
    <w:rsid w:val="00D27B7D"/>
    <w:rsid w:val="00D34511"/>
    <w:rsid w:val="00D35B95"/>
    <w:rsid w:val="00D435BF"/>
    <w:rsid w:val="00D4436E"/>
    <w:rsid w:val="00D44E5F"/>
    <w:rsid w:val="00D4789E"/>
    <w:rsid w:val="00D52EAB"/>
    <w:rsid w:val="00D54EA9"/>
    <w:rsid w:val="00D575D3"/>
    <w:rsid w:val="00D75069"/>
    <w:rsid w:val="00D77799"/>
    <w:rsid w:val="00DA23BA"/>
    <w:rsid w:val="00DA65A6"/>
    <w:rsid w:val="00DC3D15"/>
    <w:rsid w:val="00DD25E8"/>
    <w:rsid w:val="00DE13B8"/>
    <w:rsid w:val="00DE47CA"/>
    <w:rsid w:val="00DE4EFE"/>
    <w:rsid w:val="00E04B0B"/>
    <w:rsid w:val="00E24A20"/>
    <w:rsid w:val="00E304A7"/>
    <w:rsid w:val="00E3501F"/>
    <w:rsid w:val="00E41520"/>
    <w:rsid w:val="00E519C1"/>
    <w:rsid w:val="00E612AD"/>
    <w:rsid w:val="00E8244E"/>
    <w:rsid w:val="00E8629E"/>
    <w:rsid w:val="00E92DC1"/>
    <w:rsid w:val="00E93AD7"/>
    <w:rsid w:val="00EA3004"/>
    <w:rsid w:val="00EA3373"/>
    <w:rsid w:val="00EB0BD0"/>
    <w:rsid w:val="00EC71EC"/>
    <w:rsid w:val="00EE33AB"/>
    <w:rsid w:val="00EF7494"/>
    <w:rsid w:val="00F01146"/>
    <w:rsid w:val="00F01264"/>
    <w:rsid w:val="00F064B2"/>
    <w:rsid w:val="00F16AB8"/>
    <w:rsid w:val="00F24E15"/>
    <w:rsid w:val="00F2674F"/>
    <w:rsid w:val="00F26997"/>
    <w:rsid w:val="00F32D79"/>
    <w:rsid w:val="00F339BF"/>
    <w:rsid w:val="00F34ED6"/>
    <w:rsid w:val="00F37AEC"/>
    <w:rsid w:val="00F40147"/>
    <w:rsid w:val="00F424E0"/>
    <w:rsid w:val="00F4708C"/>
    <w:rsid w:val="00F513A1"/>
    <w:rsid w:val="00F543A8"/>
    <w:rsid w:val="00F616FE"/>
    <w:rsid w:val="00F74CF8"/>
    <w:rsid w:val="00F7530C"/>
    <w:rsid w:val="00F837C0"/>
    <w:rsid w:val="00F8725F"/>
    <w:rsid w:val="00F87AEE"/>
    <w:rsid w:val="00F87B5A"/>
    <w:rsid w:val="00F916CE"/>
    <w:rsid w:val="00F91902"/>
    <w:rsid w:val="00FA214A"/>
    <w:rsid w:val="00FB3454"/>
    <w:rsid w:val="00FB441A"/>
    <w:rsid w:val="00FB6E9E"/>
    <w:rsid w:val="00FC1762"/>
    <w:rsid w:val="00FC2548"/>
    <w:rsid w:val="00FC26F1"/>
    <w:rsid w:val="00FC3A5A"/>
    <w:rsid w:val="00FC634E"/>
    <w:rsid w:val="00FC6A5B"/>
    <w:rsid w:val="00FD3A9C"/>
    <w:rsid w:val="00FE0C07"/>
    <w:rsid w:val="00FF05F1"/>
    <w:rsid w:val="00FF147D"/>
    <w:rsid w:val="00FF1C27"/>
    <w:rsid w:val="00FF2EB8"/>
    <w:rsid w:val="00FF40F5"/>
    <w:rsid w:val="00FF4BB5"/>
    <w:rsid w:val="0156177E"/>
    <w:rsid w:val="021A5405"/>
    <w:rsid w:val="023F0464"/>
    <w:rsid w:val="02E26CCA"/>
    <w:rsid w:val="03081147"/>
    <w:rsid w:val="032255CD"/>
    <w:rsid w:val="04D72BD5"/>
    <w:rsid w:val="05A864A3"/>
    <w:rsid w:val="063858F6"/>
    <w:rsid w:val="06CF53A9"/>
    <w:rsid w:val="07AF6AAA"/>
    <w:rsid w:val="08E31872"/>
    <w:rsid w:val="09BA1218"/>
    <w:rsid w:val="09EF6C13"/>
    <w:rsid w:val="0A216D3B"/>
    <w:rsid w:val="0B1D7273"/>
    <w:rsid w:val="0C4D1200"/>
    <w:rsid w:val="0C9713DF"/>
    <w:rsid w:val="0E4B0190"/>
    <w:rsid w:val="0F554A8F"/>
    <w:rsid w:val="0FD77F2D"/>
    <w:rsid w:val="10175803"/>
    <w:rsid w:val="102F6518"/>
    <w:rsid w:val="107E42C4"/>
    <w:rsid w:val="110B608B"/>
    <w:rsid w:val="125300DB"/>
    <w:rsid w:val="12906AB9"/>
    <w:rsid w:val="12D55F5C"/>
    <w:rsid w:val="12F830C6"/>
    <w:rsid w:val="13806E8A"/>
    <w:rsid w:val="140562D4"/>
    <w:rsid w:val="145D542A"/>
    <w:rsid w:val="1575456B"/>
    <w:rsid w:val="16940E57"/>
    <w:rsid w:val="17040C9F"/>
    <w:rsid w:val="17244B8C"/>
    <w:rsid w:val="17C50FB3"/>
    <w:rsid w:val="18495740"/>
    <w:rsid w:val="18A23CA4"/>
    <w:rsid w:val="18AB3604"/>
    <w:rsid w:val="196A1E12"/>
    <w:rsid w:val="19B47531"/>
    <w:rsid w:val="19DC4392"/>
    <w:rsid w:val="1A355A2D"/>
    <w:rsid w:val="1B13356B"/>
    <w:rsid w:val="1B4B2562"/>
    <w:rsid w:val="1D44297A"/>
    <w:rsid w:val="1D732DF4"/>
    <w:rsid w:val="1D7F7A30"/>
    <w:rsid w:val="1D9E3215"/>
    <w:rsid w:val="1E301B9F"/>
    <w:rsid w:val="1E821BFB"/>
    <w:rsid w:val="1EA062D6"/>
    <w:rsid w:val="1EB21A19"/>
    <w:rsid w:val="1ED6726A"/>
    <w:rsid w:val="20476A09"/>
    <w:rsid w:val="207D6C36"/>
    <w:rsid w:val="22162B37"/>
    <w:rsid w:val="22A1596B"/>
    <w:rsid w:val="22E209B9"/>
    <w:rsid w:val="22F8223D"/>
    <w:rsid w:val="23D5257E"/>
    <w:rsid w:val="242522EF"/>
    <w:rsid w:val="24636C4D"/>
    <w:rsid w:val="248F7D39"/>
    <w:rsid w:val="269C55D5"/>
    <w:rsid w:val="279D5DC2"/>
    <w:rsid w:val="293B2E83"/>
    <w:rsid w:val="295C2DFA"/>
    <w:rsid w:val="295D53A7"/>
    <w:rsid w:val="2A365403"/>
    <w:rsid w:val="2D5E35E4"/>
    <w:rsid w:val="30C14C0B"/>
    <w:rsid w:val="310655A9"/>
    <w:rsid w:val="32285F6F"/>
    <w:rsid w:val="327A45CD"/>
    <w:rsid w:val="328153E0"/>
    <w:rsid w:val="336A320D"/>
    <w:rsid w:val="340956F7"/>
    <w:rsid w:val="34A80EF0"/>
    <w:rsid w:val="359B5E8D"/>
    <w:rsid w:val="361707D4"/>
    <w:rsid w:val="3755548D"/>
    <w:rsid w:val="37791103"/>
    <w:rsid w:val="37D7504D"/>
    <w:rsid w:val="38417ADA"/>
    <w:rsid w:val="384F24A7"/>
    <w:rsid w:val="385329E1"/>
    <w:rsid w:val="385E26EA"/>
    <w:rsid w:val="3929719C"/>
    <w:rsid w:val="394A0EC1"/>
    <w:rsid w:val="3B8E46B8"/>
    <w:rsid w:val="3BC31C35"/>
    <w:rsid w:val="3CF25AF7"/>
    <w:rsid w:val="3E693637"/>
    <w:rsid w:val="3EA1006D"/>
    <w:rsid w:val="3EC139D3"/>
    <w:rsid w:val="3F1A1C1B"/>
    <w:rsid w:val="3F7D78FA"/>
    <w:rsid w:val="3FA73C06"/>
    <w:rsid w:val="411A152A"/>
    <w:rsid w:val="42A62B07"/>
    <w:rsid w:val="43C23BCE"/>
    <w:rsid w:val="442944F4"/>
    <w:rsid w:val="44780FD8"/>
    <w:rsid w:val="45875BB2"/>
    <w:rsid w:val="458F4649"/>
    <w:rsid w:val="45941E41"/>
    <w:rsid w:val="45F07792"/>
    <w:rsid w:val="46821838"/>
    <w:rsid w:val="47FE7C35"/>
    <w:rsid w:val="480D1A37"/>
    <w:rsid w:val="484641FC"/>
    <w:rsid w:val="487970CD"/>
    <w:rsid w:val="48C157F4"/>
    <w:rsid w:val="48E11CA1"/>
    <w:rsid w:val="48F37297"/>
    <w:rsid w:val="496B24DA"/>
    <w:rsid w:val="49C66341"/>
    <w:rsid w:val="4A105460"/>
    <w:rsid w:val="4B1D4687"/>
    <w:rsid w:val="4B6A2C77"/>
    <w:rsid w:val="4C20320A"/>
    <w:rsid w:val="4C620684"/>
    <w:rsid w:val="4DC0189A"/>
    <w:rsid w:val="4E5F5688"/>
    <w:rsid w:val="4F47324D"/>
    <w:rsid w:val="4F9F6750"/>
    <w:rsid w:val="525B0D2C"/>
    <w:rsid w:val="53E46994"/>
    <w:rsid w:val="546E24D3"/>
    <w:rsid w:val="547277F2"/>
    <w:rsid w:val="54DA2843"/>
    <w:rsid w:val="55857D21"/>
    <w:rsid w:val="55CF657E"/>
    <w:rsid w:val="56E201DF"/>
    <w:rsid w:val="57805F87"/>
    <w:rsid w:val="57CC7D5D"/>
    <w:rsid w:val="582C415B"/>
    <w:rsid w:val="59B83EF9"/>
    <w:rsid w:val="5A4F7C8D"/>
    <w:rsid w:val="5AAD7907"/>
    <w:rsid w:val="5B372BFB"/>
    <w:rsid w:val="5B817F8D"/>
    <w:rsid w:val="5FE85FD7"/>
    <w:rsid w:val="60575AEE"/>
    <w:rsid w:val="605B5E99"/>
    <w:rsid w:val="605D1356"/>
    <w:rsid w:val="615310CC"/>
    <w:rsid w:val="61575B83"/>
    <w:rsid w:val="618B3CA1"/>
    <w:rsid w:val="618B627D"/>
    <w:rsid w:val="61C56C1B"/>
    <w:rsid w:val="62DD1890"/>
    <w:rsid w:val="64234664"/>
    <w:rsid w:val="642C6E65"/>
    <w:rsid w:val="645C36FC"/>
    <w:rsid w:val="64D70FAB"/>
    <w:rsid w:val="655D2DBC"/>
    <w:rsid w:val="65F7076E"/>
    <w:rsid w:val="662F72F1"/>
    <w:rsid w:val="66820801"/>
    <w:rsid w:val="67083A40"/>
    <w:rsid w:val="67A83750"/>
    <w:rsid w:val="6819734C"/>
    <w:rsid w:val="68753471"/>
    <w:rsid w:val="68C74CFE"/>
    <w:rsid w:val="68EE43B9"/>
    <w:rsid w:val="6A354371"/>
    <w:rsid w:val="6AAB53B4"/>
    <w:rsid w:val="6AF37F2F"/>
    <w:rsid w:val="6B0E0DE2"/>
    <w:rsid w:val="6C043664"/>
    <w:rsid w:val="6CDD3B27"/>
    <w:rsid w:val="6CF55752"/>
    <w:rsid w:val="6D965EA7"/>
    <w:rsid w:val="6DFA0428"/>
    <w:rsid w:val="6E6523AE"/>
    <w:rsid w:val="6EAB3BD4"/>
    <w:rsid w:val="6EF72976"/>
    <w:rsid w:val="70DD4149"/>
    <w:rsid w:val="70E23646"/>
    <w:rsid w:val="71A11903"/>
    <w:rsid w:val="71B46801"/>
    <w:rsid w:val="72B516BA"/>
    <w:rsid w:val="731A1328"/>
    <w:rsid w:val="73480914"/>
    <w:rsid w:val="7424288C"/>
    <w:rsid w:val="767753EB"/>
    <w:rsid w:val="77004EFA"/>
    <w:rsid w:val="771E0557"/>
    <w:rsid w:val="77446149"/>
    <w:rsid w:val="77C83101"/>
    <w:rsid w:val="78B1701F"/>
    <w:rsid w:val="79250509"/>
    <w:rsid w:val="79277612"/>
    <w:rsid w:val="7ACB3239"/>
    <w:rsid w:val="7BFA1188"/>
    <w:rsid w:val="7CA852AF"/>
    <w:rsid w:val="7CD21EA3"/>
    <w:rsid w:val="7E54766F"/>
    <w:rsid w:val="7EC200B6"/>
    <w:rsid w:val="7F027DA7"/>
    <w:rsid w:val="7FBD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12D9C65-9E7F-4EDF-9475-69ED32F5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4"/>
    </w:rPr>
  </w:style>
  <w:style w:type="paragraph" w:styleId="2">
    <w:name w:val="heading 2"/>
    <w:basedOn w:val="a"/>
    <w:next w:val="a"/>
    <w:autoRedefine/>
    <w:uiPriority w:val="9"/>
    <w:unhideWhenUsed/>
    <w:qFormat/>
    <w:pPr>
      <w:keepNext/>
      <w:keepLines/>
      <w:spacing w:line="360" w:lineRule="auto"/>
      <w:ind w:firstLineChars="200" w:firstLine="200"/>
      <w:outlineLvl w:val="1"/>
    </w:pPr>
    <w:rPr>
      <w:rFonts w:asciiTheme="majorHAnsi" w:eastAsia="仿宋_GB2312"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pPr>
      <w:jc w:val="left"/>
    </w:pPr>
  </w:style>
  <w:style w:type="paragraph" w:styleId="a4">
    <w:name w:val="Body Text"/>
    <w:basedOn w:val="a"/>
    <w:qFormat/>
    <w:pPr>
      <w:spacing w:after="120"/>
      <w:ind w:firstLine="643"/>
    </w:pPr>
  </w:style>
  <w:style w:type="paragraph" w:styleId="a5">
    <w:name w:val="Balloon Text"/>
    <w:basedOn w:val="a"/>
    <w:link w:val="Char0"/>
    <w:autoRedefine/>
    <w:uiPriority w:val="99"/>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autoRedefine/>
    <w:qFormat/>
    <w:rPr>
      <w:sz w:val="24"/>
    </w:rPr>
  </w:style>
  <w:style w:type="paragraph" w:styleId="a9">
    <w:name w:val="annotation subject"/>
    <w:basedOn w:val="a3"/>
    <w:next w:val="a3"/>
    <w:link w:val="Char3"/>
    <w:autoRedefine/>
    <w:uiPriority w:val="99"/>
    <w:unhideWhenUsed/>
    <w:qFormat/>
    <w:rPr>
      <w:b/>
      <w:bCs/>
    </w:rPr>
  </w:style>
  <w:style w:type="character" w:styleId="aa">
    <w:name w:val="annotation reference"/>
    <w:basedOn w:val="a0"/>
    <w:autoRedefine/>
    <w:uiPriority w:val="99"/>
    <w:unhideWhenUsed/>
    <w:qFormat/>
    <w:rPr>
      <w:sz w:val="21"/>
      <w:szCs w:val="21"/>
    </w:rPr>
  </w:style>
  <w:style w:type="character" w:customStyle="1" w:styleId="Char2">
    <w:name w:val="页眉 Char"/>
    <w:basedOn w:val="a0"/>
    <w:link w:val="a7"/>
    <w:autoRedefine/>
    <w:uiPriority w:val="99"/>
    <w:qFormat/>
    <w:rPr>
      <w:sz w:val="18"/>
      <w:szCs w:val="18"/>
    </w:rPr>
  </w:style>
  <w:style w:type="character" w:customStyle="1" w:styleId="Char1">
    <w:name w:val="页脚 Char"/>
    <w:basedOn w:val="a0"/>
    <w:link w:val="a6"/>
    <w:autoRedefine/>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20">
    <w:name w:val="列出段落2"/>
    <w:basedOn w:val="a"/>
    <w:autoRedefine/>
    <w:uiPriority w:val="34"/>
    <w:qFormat/>
    <w:pPr>
      <w:ind w:firstLineChars="200" w:firstLine="420"/>
    </w:pPr>
  </w:style>
  <w:style w:type="character" w:customStyle="1" w:styleId="Char0">
    <w:name w:val="批注框文本 Char"/>
    <w:basedOn w:val="a0"/>
    <w:link w:val="a5"/>
    <w:autoRedefine/>
    <w:uiPriority w:val="99"/>
    <w:semiHidden/>
    <w:qFormat/>
    <w:rPr>
      <w:rFonts w:ascii="Calibri" w:hAnsi="Calibri"/>
      <w:kern w:val="2"/>
      <w:sz w:val="18"/>
      <w:szCs w:val="18"/>
    </w:rPr>
  </w:style>
  <w:style w:type="paragraph" w:customStyle="1" w:styleId="10">
    <w:name w:val="修订1"/>
    <w:autoRedefine/>
    <w:hidden/>
    <w:uiPriority w:val="99"/>
    <w:semiHidden/>
    <w:qFormat/>
    <w:rPr>
      <w:rFonts w:ascii="Calibri" w:hAnsi="Calibri"/>
      <w:kern w:val="2"/>
      <w:sz w:val="21"/>
      <w:szCs w:val="24"/>
    </w:rPr>
  </w:style>
  <w:style w:type="character" w:customStyle="1" w:styleId="Char">
    <w:name w:val="批注文字 Char"/>
    <w:basedOn w:val="a0"/>
    <w:link w:val="a3"/>
    <w:uiPriority w:val="99"/>
    <w:semiHidden/>
    <w:qFormat/>
    <w:rPr>
      <w:rFonts w:ascii="Calibri" w:hAnsi="Calibri"/>
      <w:kern w:val="2"/>
      <w:sz w:val="21"/>
      <w:szCs w:val="24"/>
    </w:rPr>
  </w:style>
  <w:style w:type="character" w:customStyle="1" w:styleId="Char3">
    <w:name w:val="批注主题 Char"/>
    <w:basedOn w:val="Char"/>
    <w:link w:val="a9"/>
    <w:autoRedefine/>
    <w:uiPriority w:val="99"/>
    <w:semiHidden/>
    <w:qFormat/>
    <w:rPr>
      <w:rFonts w:ascii="Calibri" w:hAnsi="Calibri"/>
      <w:b/>
      <w:bCs/>
      <w:kern w:val="2"/>
      <w:sz w:val="21"/>
      <w:szCs w:val="24"/>
    </w:rPr>
  </w:style>
  <w:style w:type="paragraph" w:customStyle="1" w:styleId="21">
    <w:name w:val="修订2"/>
    <w:autoRedefine/>
    <w:hidden/>
    <w:uiPriority w:val="99"/>
    <w:semiHidden/>
    <w:qFormat/>
    <w:rPr>
      <w:rFonts w:ascii="Calibri" w:hAnsi="Calibri"/>
      <w:kern w:val="2"/>
      <w:sz w:val="21"/>
      <w:szCs w:val="24"/>
    </w:rPr>
  </w:style>
  <w:style w:type="paragraph" w:customStyle="1" w:styleId="3">
    <w:name w:val="修订3"/>
    <w:autoRedefine/>
    <w:hidden/>
    <w:uiPriority w:val="99"/>
    <w:semiHidden/>
    <w:qFormat/>
    <w:rPr>
      <w:rFonts w:ascii="Calibri" w:hAnsi="Calibri"/>
      <w:kern w:val="2"/>
      <w:sz w:val="21"/>
      <w:szCs w:val="24"/>
    </w:rPr>
  </w:style>
  <w:style w:type="paragraph" w:customStyle="1" w:styleId="4">
    <w:name w:val="修订4"/>
    <w:hidden/>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275</Words>
  <Characters>1571</Characters>
  <Application>Microsoft Office Word</Application>
  <DocSecurity>0</DocSecurity>
  <Lines>13</Lines>
  <Paragraphs>3</Paragraphs>
  <ScaleCrop>false</ScaleCrop>
  <Company>Microsoft</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qyf</dc:creator>
  <cp:lastModifiedBy>张明</cp:lastModifiedBy>
  <cp:revision>115</cp:revision>
  <dcterms:created xsi:type="dcterms:W3CDTF">2024-07-04T09:43:00Z</dcterms:created>
  <dcterms:modified xsi:type="dcterms:W3CDTF">2025-05-16T02:24:00Z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CD73C51F67C34FEFB444AFEE234AE09A_13</vt:lpwstr>
  </property>
  <property fmtid="{D5CDD505-2E9C-101B-9397-08002B2CF9AE}" pid="4" name="KSOTemplateDocerSaveRecord">
    <vt:lpwstr>eyJoZGlkIjoiYjNkNzNjNDY1N2E3MTBjZWVmOWY0NDA2ZjM1NTc1NDciLCJ1c2VySWQiOiI0Mjc5NzUzOTkifQ==</vt:lpwstr>
  </property>
</Properties>
</file>