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auto"/>
        <w:jc w:val="center"/>
        <w:outlineLvl w:val="1"/>
        <w:rPr>
          <w:rFonts w:ascii="Times New Roman" w:hAnsi="Times New Roman" w:cs="Times New Roman"/>
          <w:b/>
          <w:bCs/>
          <w:iCs/>
          <w:sz w:val="24"/>
        </w:rPr>
      </w:pPr>
      <w:r>
        <w:rPr>
          <w:rFonts w:hint="eastAsia" w:ascii="Times New Roman" w:hAnsi="Times New Roman" w:eastAsia="宋体" w:cs="Times New Roman"/>
          <w:b/>
          <w:bCs/>
          <w:iCs/>
          <w:sz w:val="24"/>
          <w:lang w:bidi="ar"/>
        </w:rPr>
        <w:t>证券简称：莱特光电</w:t>
      </w:r>
      <w:r>
        <w:rPr>
          <w:rFonts w:ascii="Times New Roman" w:hAnsi="Times New Roman" w:eastAsia="宋体" w:cs="Times New Roman"/>
          <w:b/>
          <w:bCs/>
          <w:iCs/>
          <w:sz w:val="24"/>
          <w:lang w:bidi="ar"/>
        </w:rPr>
        <w:t xml:space="preserve">                                      </w:t>
      </w:r>
      <w:r>
        <w:rPr>
          <w:rFonts w:hint="eastAsia" w:ascii="Times New Roman" w:hAnsi="Times New Roman" w:eastAsia="宋体" w:cs="Times New Roman"/>
          <w:b/>
          <w:bCs/>
          <w:iCs/>
          <w:sz w:val="24"/>
          <w:lang w:bidi="ar"/>
        </w:rPr>
        <w:t>证券代码：</w:t>
      </w:r>
      <w:r>
        <w:rPr>
          <w:rFonts w:ascii="Times New Roman" w:hAnsi="Times New Roman" w:eastAsia="宋体" w:cs="Times New Roman"/>
          <w:b/>
          <w:bCs/>
          <w:iCs/>
          <w:sz w:val="24"/>
          <w:lang w:bidi="ar"/>
        </w:rPr>
        <w:t>688150</w:t>
      </w:r>
    </w:p>
    <w:p>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陕西莱特光电材料股份有限公司</w:t>
      </w:r>
    </w:p>
    <w:p>
      <w:pPr>
        <w:keepNext/>
        <w:keepLines/>
        <w:spacing w:before="156" w:beforeLines="50" w:after="156" w:afterLines="50" w:line="360" w:lineRule="auto"/>
        <w:jc w:val="center"/>
        <w:outlineLvl w:val="1"/>
        <w:rPr>
          <w:rFonts w:ascii="Times New Roman" w:hAnsi="Times New Roman" w:cs="Times New Roman"/>
          <w:b/>
          <w:bCs/>
          <w:sz w:val="32"/>
          <w:szCs w:val="32"/>
        </w:rPr>
      </w:pPr>
      <w:r>
        <w:rPr>
          <w:rFonts w:hint="eastAsia" w:ascii="Times New Roman" w:hAnsi="Times New Roman" w:eastAsia="宋体" w:cs="Times New Roman"/>
          <w:b/>
          <w:bCs/>
          <w:sz w:val="32"/>
          <w:szCs w:val="32"/>
          <w:lang w:bidi="ar"/>
        </w:rPr>
        <w:t>投资者关系活动记录表</w:t>
      </w:r>
    </w:p>
    <w:p>
      <w:pPr>
        <w:keepNext/>
        <w:keepLines/>
        <w:spacing w:before="260" w:after="260" w:line="360" w:lineRule="auto"/>
        <w:jc w:val="right"/>
        <w:outlineLvl w:val="1"/>
        <w:rPr>
          <w:rFonts w:ascii="Times New Roman" w:hAnsi="Times New Roman" w:eastAsia="宋体" w:cs="Times New Roman"/>
          <w:b/>
          <w:bCs/>
          <w:sz w:val="24"/>
        </w:rPr>
      </w:pPr>
      <w:r>
        <w:rPr>
          <w:rFonts w:hint="eastAsia" w:ascii="Times New Roman" w:hAnsi="Times New Roman" w:eastAsia="宋体" w:cs="Times New Roman"/>
          <w:b/>
          <w:bCs/>
          <w:sz w:val="24"/>
          <w:lang w:bidi="ar"/>
        </w:rPr>
        <w:t>编号：</w:t>
      </w:r>
      <w:r>
        <w:rPr>
          <w:rFonts w:ascii="Times New Roman" w:hAnsi="Times New Roman" w:eastAsia="宋体" w:cs="Times New Roman"/>
          <w:b/>
          <w:bCs/>
          <w:sz w:val="24"/>
          <w:lang w:bidi="ar"/>
        </w:rPr>
        <w:t>202</w:t>
      </w:r>
      <w:r>
        <w:rPr>
          <w:rFonts w:hint="eastAsia" w:ascii="Times New Roman" w:hAnsi="Times New Roman" w:eastAsia="宋体" w:cs="Times New Roman"/>
          <w:b/>
          <w:bCs/>
          <w:sz w:val="24"/>
          <w:lang w:bidi="ar"/>
        </w:rPr>
        <w:t>5</w:t>
      </w:r>
      <w:r>
        <w:rPr>
          <w:rFonts w:ascii="Times New Roman" w:hAnsi="Times New Roman" w:eastAsia="宋体" w:cs="Times New Roman"/>
          <w:b/>
          <w:bCs/>
          <w:sz w:val="24"/>
          <w:lang w:bidi="ar"/>
        </w:rPr>
        <w:t>-</w:t>
      </w:r>
      <w:r>
        <w:rPr>
          <w:rFonts w:hint="eastAsia" w:ascii="Times New Roman" w:hAnsi="Times New Roman" w:eastAsia="宋体" w:cs="Times New Roman"/>
          <w:b/>
          <w:bCs/>
          <w:sz w:val="24"/>
          <w:lang w:bidi="ar"/>
        </w:rPr>
        <w:t>006</w:t>
      </w:r>
    </w:p>
    <w:tbl>
      <w:tblPr>
        <w:tblStyle w:val="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hint="eastAsia" w:ascii="Times New Roman" w:hAnsi="Times New Roman" w:eastAsia="宋体" w:cs="Times New Roman"/>
                <w:b/>
                <w:bCs/>
                <w:iCs/>
                <w:sz w:val="24"/>
                <w:lang w:bidi="ar"/>
              </w:rPr>
              <w:t>投资者关系活动类别</w:t>
            </w:r>
          </w:p>
        </w:tc>
        <w:tc>
          <w:tcPr>
            <w:tcW w:w="81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Times New Roman" w:hAnsi="Times New Roman" w:cs="Times New Roman"/>
                <w:sz w:val="24"/>
              </w:rPr>
            </w:pPr>
            <w:r>
              <w:rPr>
                <w:rFonts w:ascii="Wingdings 2" w:hAnsi="Wingdings 2" w:eastAsia="Wingdings 2" w:cs="Times New Roman"/>
                <w:sz w:val="24"/>
                <w:szCs w:val="22"/>
                <w:lang w:bidi="ar"/>
              </w:rPr>
              <w:sym w:font="Wingdings 2" w:char="0052"/>
            </w:r>
            <w:r>
              <w:rPr>
                <w:rFonts w:hint="eastAsia" w:ascii="Wingdings 2" w:hAnsi="Wingdings 2" w:eastAsia="宋体" w:cs="Times New Roman"/>
                <w:sz w:val="24"/>
                <w:lang w:bidi="ar"/>
              </w:rPr>
              <w:t>特定</w:t>
            </w:r>
            <w:r>
              <w:rPr>
                <w:rFonts w:hint="eastAsia" w:ascii="Times New Roman" w:hAnsi="Times New Roman" w:eastAsia="宋体" w:cs="Times New Roman"/>
                <w:sz w:val="24"/>
                <w:lang w:bidi="ar"/>
              </w:rPr>
              <w:t>对象调研</w:t>
            </w:r>
            <w:r>
              <w:rPr>
                <w:rFonts w:ascii="Times New Roman" w:hAnsi="Times New Roman" w:eastAsia="宋体" w:cs="Times New Roman"/>
                <w:sz w:val="24"/>
                <w:lang w:bidi="ar"/>
              </w:rPr>
              <w:t xml:space="preserve">          </w:t>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分析师会议</w:t>
            </w:r>
            <w:r>
              <w:rPr>
                <w:rFonts w:ascii="Times New Roman" w:hAnsi="Times New Roman" w:eastAsia="宋体" w:cs="Times New Roman"/>
                <w:bCs/>
                <w:iCs/>
                <w:sz w:val="24"/>
                <w:lang w:bidi="ar"/>
              </w:rPr>
              <w:t xml:space="preserve">          </w:t>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媒体采访</w:t>
            </w:r>
            <w:r>
              <w:rPr>
                <w:rFonts w:ascii="Times New Roman" w:hAnsi="Times New Roman" w:eastAsia="宋体" w:cs="Times New Roman"/>
                <w:sz w:val="24"/>
                <w:lang w:bidi="ar"/>
              </w:rPr>
              <w:br w:type="textWrapping"/>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业绩说明会</w:t>
            </w:r>
            <w:r>
              <w:rPr>
                <w:rFonts w:ascii="Times New Roman" w:hAnsi="Times New Roman" w:eastAsia="宋体" w:cs="Times New Roman"/>
                <w:bCs/>
                <w:iCs/>
                <w:sz w:val="24"/>
                <w:lang w:bidi="ar"/>
              </w:rPr>
              <w:t xml:space="preserve">            </w:t>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新闻发布会</w:t>
            </w:r>
            <w:r>
              <w:rPr>
                <w:rFonts w:ascii="Times New Roman" w:hAnsi="Times New Roman" w:eastAsia="宋体" w:cs="Times New Roman"/>
                <w:sz w:val="24"/>
                <w:lang w:bidi="ar"/>
              </w:rPr>
              <w:t xml:space="preserve">          </w:t>
            </w:r>
            <w:r>
              <w:rPr>
                <w:rFonts w:ascii="Wingdings 2" w:hAnsi="Wingdings 2" w:eastAsia="Wingdings 2" w:cs="Times New Roman"/>
                <w:sz w:val="24"/>
                <w:szCs w:val="22"/>
                <w:lang w:bidi="ar"/>
              </w:rPr>
              <w:sym w:font="Wingdings 2" w:char="00A3"/>
            </w:r>
            <w:r>
              <w:rPr>
                <w:rFonts w:hint="eastAsia" w:ascii="Times New Roman" w:hAnsi="Times New Roman" w:eastAsia="宋体" w:cs="Times New Roman"/>
                <w:sz w:val="24"/>
                <w:lang w:bidi="ar"/>
              </w:rPr>
              <w:t>路演活动</w:t>
            </w:r>
          </w:p>
          <w:p>
            <w:pPr>
              <w:tabs>
                <w:tab w:val="left" w:pos="2690"/>
                <w:tab w:val="center" w:pos="3199"/>
              </w:tabs>
              <w:spacing w:line="360" w:lineRule="auto"/>
              <w:jc w:val="left"/>
              <w:rPr>
                <w:rFonts w:ascii="Times New Roman" w:hAnsi="Times New Roman" w:cs="Times New Roman"/>
                <w:bCs/>
                <w:iCs/>
                <w:sz w:val="24"/>
              </w:rPr>
            </w:pPr>
            <w:r>
              <w:rPr>
                <w:rFonts w:ascii="Wingdings 2" w:hAnsi="Wingdings 2" w:eastAsia="Wingdings 2" w:cs="Times New Roman"/>
                <w:sz w:val="24"/>
                <w:szCs w:val="22"/>
                <w:lang w:bidi="ar"/>
              </w:rPr>
              <w:sym w:font="Wingdings 2" w:char="0052"/>
            </w:r>
            <w:r>
              <w:rPr>
                <w:rFonts w:hint="eastAsia" w:ascii="Wingdings 2" w:hAnsi="Wingdings 2" w:eastAsia="宋体" w:cs="Times New Roman"/>
                <w:sz w:val="24"/>
                <w:lang w:bidi="ar"/>
              </w:rPr>
              <w:t>现</w:t>
            </w:r>
            <w:r>
              <w:rPr>
                <w:rFonts w:hint="eastAsia" w:ascii="Times New Roman" w:hAnsi="Times New Roman" w:eastAsia="宋体" w:cs="Times New Roman"/>
                <w:sz w:val="24"/>
                <w:lang w:bidi="ar"/>
              </w:rPr>
              <w:t>场参观</w:t>
            </w:r>
            <w:r>
              <w:rPr>
                <w:rFonts w:ascii="Times New Roman" w:hAnsi="Times New Roman" w:eastAsia="宋体" w:cs="Times New Roman"/>
                <w:sz w:val="24"/>
                <w:lang w:bidi="ar"/>
              </w:rPr>
              <w:t xml:space="preserve">              </w:t>
            </w:r>
            <w:r>
              <w:rPr>
                <w:rFonts w:ascii="Wingdings 2" w:hAnsi="Wingdings 2" w:eastAsia="Wingdings 2" w:cs="Times New Roman"/>
                <w:sz w:val="24"/>
                <w:szCs w:val="22"/>
                <w:lang w:bidi="ar"/>
              </w:rPr>
              <w:sym w:font="Wingdings 2" w:char="0052"/>
            </w:r>
            <w:r>
              <w:rPr>
                <w:rFonts w:hint="eastAsia" w:ascii="Wingdings 2" w:hAnsi="Wingdings 2" w:eastAsia="宋体" w:cs="Times New Roman"/>
                <w:sz w:val="24"/>
                <w:lang w:bidi="ar"/>
              </w:rPr>
              <w:t>电话会议</w:t>
            </w:r>
            <w:r>
              <w:rPr>
                <w:rFonts w:ascii="Times New Roman" w:hAnsi="Times New Roman" w:eastAsia="宋体" w:cs="Times New Roman"/>
                <w:bCs/>
                <w:iCs/>
                <w:sz w:val="24"/>
                <w:lang w:bidi="ar"/>
              </w:rPr>
              <w:t xml:space="preserve">         </w:t>
            </w:r>
            <w:r>
              <w:rPr>
                <w:rFonts w:hint="eastAsia" w:ascii="Times New Roman" w:hAnsi="Times New Roman" w:eastAsia="宋体" w:cs="Times New Roman"/>
                <w:bCs/>
                <w:iCs/>
                <w:sz w:val="24"/>
                <w:lang w:bidi="ar"/>
              </w:rPr>
              <w:t xml:space="preserve"> </w:t>
            </w:r>
            <w:r>
              <w:rPr>
                <w:rFonts w:ascii="Wingdings 2" w:hAnsi="Wingdings 2" w:eastAsia="Wingdings 2" w:cs="Wingdings 2"/>
                <w:bCs/>
                <w:iCs/>
                <w:sz w:val="24"/>
                <w:lang w:bidi="ar"/>
              </w:rPr>
              <w:t></w:t>
            </w:r>
            <w:r>
              <w:rPr>
                <w:rFonts w:ascii="Wingdings 2" w:hAnsi="Wingdings 2" w:eastAsia="Wingdings 2" w:cs="Times New Roman"/>
                <w:sz w:val="24"/>
                <w:szCs w:val="22"/>
                <w:lang w:bidi="ar"/>
              </w:rPr>
              <w:sym w:font="Wingdings 2" w:char="00A3"/>
            </w:r>
            <w:r>
              <w:rPr>
                <w:rFonts w:hint="eastAsia" w:ascii="Wingdings 2" w:hAnsi="Wingdings 2" w:eastAsia="宋体" w:cs="Wingdings 2"/>
                <w:sz w:val="24"/>
                <w:szCs w:val="22"/>
                <w:lang w:bidi="ar"/>
              </w:rPr>
              <w:t>其他</w:t>
            </w:r>
            <w:r>
              <w:rPr>
                <w:rFonts w:ascii="Wingdings 2" w:hAnsi="Wingdings 2" w:eastAsia="Wingdings 2" w:cs="Wingdings 2"/>
                <w:sz w:val="24"/>
                <w:szCs w:val="22"/>
                <w:u w:val="singl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参与单位名称及人员姓名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2798"/>
              </w:tabs>
              <w:spacing w:line="360" w:lineRule="auto"/>
              <w:jc w:val="left"/>
              <w:rPr>
                <w:rFonts w:ascii="Times New Roman" w:hAnsi="Times New Roman" w:cs="Times New Roman"/>
                <w:bCs/>
                <w:iCs/>
                <w:sz w:val="24"/>
                <w:lang w:bidi="ar"/>
              </w:rPr>
            </w:pPr>
            <w:r>
              <w:rPr>
                <w:rFonts w:ascii="Times New Roman" w:hAnsi="Times New Roman" w:cs="Times New Roman"/>
                <w:bCs/>
                <w:iCs/>
                <w:sz w:val="24"/>
                <w:lang w:bidi="ar"/>
              </w:rPr>
              <w:t>详见附件：《陕西莱特光电材料股份有限公司202</w:t>
            </w:r>
            <w:r>
              <w:rPr>
                <w:rFonts w:hint="eastAsia" w:ascii="Times New Roman" w:hAnsi="Times New Roman" w:cs="Times New Roman"/>
                <w:bCs/>
                <w:iCs/>
                <w:sz w:val="24"/>
                <w:lang w:bidi="ar"/>
              </w:rPr>
              <w:t>5</w:t>
            </w:r>
            <w:r>
              <w:rPr>
                <w:rFonts w:ascii="Times New Roman" w:hAnsi="Times New Roman" w:cs="Times New Roman"/>
                <w:bCs/>
                <w:iCs/>
                <w:sz w:val="24"/>
                <w:lang w:bidi="ar"/>
              </w:rPr>
              <w:t>年</w:t>
            </w:r>
            <w:r>
              <w:rPr>
                <w:rFonts w:hint="eastAsia" w:ascii="Times New Roman" w:hAnsi="Times New Roman" w:cs="Times New Roman"/>
                <w:bCs/>
                <w:iCs/>
                <w:sz w:val="24"/>
                <w:lang w:bidi="ar"/>
              </w:rPr>
              <w:t>5月14日至</w:t>
            </w:r>
            <w:r>
              <w:rPr>
                <w:rFonts w:ascii="Times New Roman" w:hAnsi="Times New Roman" w:cs="Times New Roman"/>
                <w:bCs/>
                <w:iCs/>
                <w:sz w:val="24"/>
                <w:lang w:bidi="ar"/>
              </w:rPr>
              <w:t>202</w:t>
            </w:r>
            <w:r>
              <w:rPr>
                <w:rFonts w:hint="eastAsia" w:ascii="Times New Roman" w:hAnsi="Times New Roman" w:cs="Times New Roman"/>
                <w:bCs/>
                <w:iCs/>
                <w:sz w:val="24"/>
                <w:lang w:bidi="ar"/>
              </w:rPr>
              <w:t>5</w:t>
            </w:r>
            <w:r>
              <w:rPr>
                <w:rFonts w:ascii="Times New Roman" w:hAnsi="Times New Roman" w:cs="Times New Roman"/>
                <w:bCs/>
                <w:iCs/>
                <w:sz w:val="24"/>
                <w:lang w:bidi="ar"/>
              </w:rPr>
              <w:t>年5</w:t>
            </w:r>
            <w:r>
              <w:rPr>
                <w:rFonts w:hint="eastAsia" w:ascii="Times New Roman" w:hAnsi="Times New Roman" w:cs="Times New Roman"/>
                <w:bCs/>
                <w:iCs/>
                <w:sz w:val="24"/>
                <w:lang w:bidi="ar"/>
              </w:rPr>
              <w:t>月</w:t>
            </w:r>
            <w:r>
              <w:rPr>
                <w:rFonts w:ascii="Times New Roman" w:hAnsi="Times New Roman" w:cs="Times New Roman"/>
                <w:bCs/>
                <w:iCs/>
                <w:sz w:val="24"/>
                <w:lang w:bidi="ar"/>
              </w:rPr>
              <w:t>1</w:t>
            </w:r>
            <w:r>
              <w:rPr>
                <w:rFonts w:hint="eastAsia" w:ascii="Times New Roman" w:hAnsi="Times New Roman" w:cs="Times New Roman"/>
                <w:bCs/>
                <w:iCs/>
                <w:sz w:val="24"/>
                <w:lang w:bidi="ar"/>
              </w:rPr>
              <w:t>5日</w:t>
            </w:r>
            <w:r>
              <w:rPr>
                <w:rFonts w:ascii="Times New Roman" w:hAnsi="Times New Roman" w:cs="Times New Roman"/>
                <w:bCs/>
                <w:iCs/>
                <w:sz w:val="24"/>
                <w:lang w:bidi="ar"/>
              </w:rPr>
              <w:t>参会名单》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会议时间</w:t>
            </w:r>
          </w:p>
        </w:tc>
        <w:tc>
          <w:tcPr>
            <w:tcW w:w="81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Times New Roman"/>
                <w:bCs/>
                <w:iCs/>
                <w:sz w:val="24"/>
              </w:rPr>
            </w:pPr>
            <w:r>
              <w:rPr>
                <w:rFonts w:ascii="Times New Roman" w:hAnsi="Times New Roman" w:cs="Times New Roman"/>
                <w:bCs/>
                <w:iCs/>
                <w:sz w:val="24"/>
                <w:lang w:bidi="ar"/>
              </w:rPr>
              <w:t>202</w:t>
            </w:r>
            <w:r>
              <w:rPr>
                <w:rFonts w:hint="eastAsia" w:ascii="Times New Roman" w:hAnsi="Times New Roman" w:cs="Times New Roman"/>
                <w:bCs/>
                <w:iCs/>
                <w:sz w:val="24"/>
                <w:lang w:bidi="ar"/>
              </w:rPr>
              <w:t>5</w:t>
            </w:r>
            <w:r>
              <w:rPr>
                <w:rFonts w:ascii="Times New Roman" w:hAnsi="Times New Roman" w:cs="Times New Roman"/>
                <w:bCs/>
                <w:iCs/>
                <w:sz w:val="24"/>
                <w:lang w:bidi="ar"/>
              </w:rPr>
              <w:t>年</w:t>
            </w:r>
            <w:r>
              <w:rPr>
                <w:rFonts w:hint="eastAsia" w:ascii="Times New Roman" w:hAnsi="Times New Roman" w:cs="Times New Roman"/>
                <w:bCs/>
                <w:iCs/>
                <w:sz w:val="24"/>
                <w:lang w:bidi="ar"/>
              </w:rPr>
              <w:t>5月14日至</w:t>
            </w:r>
            <w:r>
              <w:rPr>
                <w:rFonts w:ascii="Times New Roman" w:hAnsi="Times New Roman" w:cs="Times New Roman"/>
                <w:bCs/>
                <w:iCs/>
                <w:sz w:val="24"/>
                <w:lang w:bidi="ar"/>
              </w:rPr>
              <w:t>202</w:t>
            </w:r>
            <w:r>
              <w:rPr>
                <w:rFonts w:hint="eastAsia" w:ascii="Times New Roman" w:hAnsi="Times New Roman" w:cs="Times New Roman"/>
                <w:bCs/>
                <w:iCs/>
                <w:sz w:val="24"/>
                <w:lang w:bidi="ar"/>
              </w:rPr>
              <w:t>5</w:t>
            </w:r>
            <w:r>
              <w:rPr>
                <w:rFonts w:ascii="Times New Roman" w:hAnsi="Times New Roman" w:cs="Times New Roman"/>
                <w:bCs/>
                <w:iCs/>
                <w:sz w:val="24"/>
                <w:lang w:bidi="ar"/>
              </w:rPr>
              <w:t>年5</w:t>
            </w:r>
            <w:r>
              <w:rPr>
                <w:rFonts w:hint="eastAsia" w:ascii="Times New Roman" w:hAnsi="Times New Roman" w:cs="Times New Roman"/>
                <w:bCs/>
                <w:iCs/>
                <w:sz w:val="24"/>
                <w:lang w:bidi="ar"/>
              </w:rPr>
              <w:t>月</w:t>
            </w:r>
            <w:r>
              <w:rPr>
                <w:rFonts w:ascii="Times New Roman" w:hAnsi="Times New Roman" w:cs="Times New Roman"/>
                <w:bCs/>
                <w:iCs/>
                <w:sz w:val="24"/>
                <w:lang w:bidi="ar"/>
              </w:rPr>
              <w:t>1</w:t>
            </w:r>
            <w:r>
              <w:rPr>
                <w:rFonts w:hint="eastAsia" w:ascii="Times New Roman" w:hAnsi="Times New Roman" w:cs="Times New Roman"/>
                <w:bCs/>
                <w:iCs/>
                <w:sz w:val="24"/>
                <w:lang w:bidi="ar"/>
              </w:rPr>
              <w:t>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会议地点</w:t>
            </w:r>
          </w:p>
        </w:tc>
        <w:tc>
          <w:tcPr>
            <w:tcW w:w="816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Times New Roman"/>
                <w:bCs/>
                <w:iCs/>
                <w:sz w:val="24"/>
              </w:rPr>
            </w:pPr>
            <w:r>
              <w:rPr>
                <w:rFonts w:hint="eastAsia" w:ascii="Times New Roman" w:hAnsi="Times New Roman" w:cs="Times New Roman"/>
                <w:bCs/>
                <w:iCs/>
                <w:sz w:val="24"/>
                <w:lang w:bidi="ar"/>
              </w:rPr>
              <w:t>陕西莱特光电材料股份有限公司会议室/线上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cs="Times New Roman"/>
                <w:b/>
                <w:bCs/>
                <w:iCs/>
                <w:sz w:val="24"/>
              </w:rPr>
            </w:pPr>
            <w:r>
              <w:rPr>
                <w:rFonts w:ascii="Times New Roman" w:hAnsi="Times New Roman" w:cs="Times New Roman"/>
                <w:b/>
                <w:bCs/>
                <w:iCs/>
                <w:sz w:val="24"/>
                <w:lang w:bidi="ar"/>
              </w:rPr>
              <w:t>上市公司接待人员姓名</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bCs/>
                <w:iCs/>
                <w:sz w:val="24"/>
                <w:lang w:bidi="ar"/>
              </w:rPr>
            </w:pPr>
            <w:r>
              <w:rPr>
                <w:rFonts w:ascii="Times New Roman" w:hAnsi="Times New Roman" w:cs="Times New Roman"/>
                <w:bCs/>
                <w:iCs/>
                <w:sz w:val="24"/>
                <w:lang w:bidi="ar"/>
              </w:rPr>
              <w:t xml:space="preserve">董事会秘书：潘香婷               </w:t>
            </w:r>
            <w:r>
              <w:rPr>
                <w:rFonts w:hint="eastAsia" w:ascii="Times New Roman" w:hAnsi="Times New Roman" w:cs="Times New Roman"/>
                <w:bCs/>
                <w:iCs/>
                <w:sz w:val="24"/>
                <w:lang w:bidi="ar"/>
              </w:rPr>
              <w:t xml:space="preserve">  证券事务代表：柴萌远</w:t>
            </w:r>
          </w:p>
          <w:p>
            <w:pPr>
              <w:spacing w:line="360" w:lineRule="auto"/>
              <w:rPr>
                <w:rFonts w:ascii="Times New Roman" w:hAnsi="Times New Roman" w:cs="Times New Roman"/>
                <w:bCs/>
                <w:iCs/>
                <w:sz w:val="24"/>
                <w:lang w:bidi="ar"/>
              </w:rPr>
            </w:pPr>
            <w:r>
              <w:rPr>
                <w:rFonts w:hint="eastAsia" w:ascii="Times New Roman" w:hAnsi="Times New Roman" w:cs="Times New Roman"/>
                <w:bCs/>
                <w:iCs/>
                <w:sz w:val="24"/>
                <w:lang w:bidi="ar"/>
              </w:rPr>
              <w:t>投资者关系</w:t>
            </w:r>
            <w:r>
              <w:rPr>
                <w:rFonts w:ascii="Times New Roman" w:hAnsi="Times New Roman" w:cs="Times New Roman"/>
                <w:bCs/>
                <w:iCs/>
                <w:sz w:val="24"/>
                <w:lang w:bidi="ar"/>
              </w:rPr>
              <w:t>专员：</w:t>
            </w:r>
            <w:r>
              <w:rPr>
                <w:rFonts w:hint="eastAsia" w:ascii="Times New Roman" w:hAnsi="Times New Roman" w:cs="Times New Roman"/>
                <w:bCs/>
                <w:iCs/>
                <w:sz w:val="24"/>
                <w:lang w:bidi="ar"/>
              </w:rPr>
              <w:t>张尊睿             证券事务专员：邓倩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投资者关系活动主要内容介绍</w:t>
            </w:r>
          </w:p>
        </w:tc>
        <w:tc>
          <w:tcPr>
            <w:tcW w:w="8160" w:type="dxa"/>
            <w:tcBorders>
              <w:top w:val="single" w:color="auto" w:sz="4" w:space="0"/>
              <w:left w:val="single" w:color="auto" w:sz="4" w:space="0"/>
              <w:bottom w:val="single" w:color="auto" w:sz="4" w:space="0"/>
              <w:right w:val="single" w:color="auto" w:sz="4" w:space="0"/>
            </w:tcBorders>
            <w:shd w:val="clear" w:color="auto" w:fill="auto"/>
          </w:tcPr>
          <w:p>
            <w:pPr>
              <w:widowControl/>
              <w:spacing w:before="50" w:line="360" w:lineRule="auto"/>
              <w:ind w:firstLine="422" w:firstLineChars="200"/>
              <w:rPr>
                <w:rFonts w:ascii="Times New Roman" w:hAnsi="Times New Roman" w:cs="Times New Roman"/>
                <w:szCs w:val="21"/>
                <w:lang w:bidi="ar"/>
              </w:rPr>
            </w:pPr>
            <w:r>
              <w:rPr>
                <w:rFonts w:ascii="Times New Roman" w:hAnsi="Times New Roman" w:cs="Times New Roman"/>
                <w:b/>
                <w:bCs/>
                <w:szCs w:val="21"/>
                <w:lang w:bidi="ar"/>
              </w:rPr>
              <w:t>问题</w:t>
            </w:r>
            <w:r>
              <w:rPr>
                <w:rFonts w:hint="eastAsia" w:ascii="Times New Roman" w:hAnsi="Times New Roman" w:cs="Times New Roman"/>
                <w:b/>
                <w:bCs/>
                <w:szCs w:val="21"/>
                <w:lang w:bidi="ar"/>
              </w:rPr>
              <w:t>1</w:t>
            </w:r>
            <w:r>
              <w:rPr>
                <w:rFonts w:ascii="Times New Roman" w:hAnsi="Times New Roman" w:cs="Times New Roman"/>
                <w:b/>
                <w:bCs/>
                <w:szCs w:val="21"/>
                <w:lang w:bidi="ar"/>
              </w:rPr>
              <w:t>：</w:t>
            </w:r>
            <w:r>
              <w:rPr>
                <w:rFonts w:hint="eastAsia" w:ascii="Times New Roman" w:hAnsi="Times New Roman" w:cs="Times New Roman"/>
                <w:b/>
                <w:bCs/>
                <w:szCs w:val="21"/>
                <w:lang w:bidi="ar"/>
              </w:rPr>
              <w:t>公司2024年及今年一季度业绩连创新高，请介绍公司业绩增长及原因？</w:t>
            </w:r>
          </w:p>
          <w:p>
            <w:pPr>
              <w:widowControl/>
              <w:spacing w:before="50" w:line="360" w:lineRule="auto"/>
              <w:ind w:firstLine="420" w:firstLineChars="200"/>
              <w:rPr>
                <w:rFonts w:ascii="Times New Roman" w:hAnsi="Times New Roman" w:cs="Times New Roman"/>
                <w:szCs w:val="21"/>
                <w:lang w:bidi="ar"/>
              </w:rPr>
            </w:pPr>
            <w:r>
              <w:rPr>
                <w:rFonts w:hint="eastAsia" w:ascii="Times New Roman" w:hAnsi="Times New Roman" w:cs="Times New Roman"/>
                <w:szCs w:val="21"/>
                <w:lang w:bidi="ar"/>
              </w:rPr>
              <w:t>答：2024年度，公司实现营业收入4.72亿元，同比增长56.90%；若剔除股份支付费用对损益的影响，实现归母净利润1.79亿元，同比增长119.09%。2025年第一季度，公司实现营业收入1.45亿元，同比增长27.03%；实现归属于母公司所有者的净利润6,087.42万元，同比增长39.90%。公司业绩同比增长得益于OLED显示技术市场渗透率持续提升，公司OLED终端材料产品市场份额稳步扩大，叠加研发创新、降本增效成果显著，以及良好的费用控制，推动公司的营业收入和净利润大幅增长。</w:t>
            </w:r>
          </w:p>
          <w:p>
            <w:pPr>
              <w:widowControl/>
              <w:spacing w:before="50" w:line="360" w:lineRule="auto"/>
              <w:ind w:firstLine="422" w:firstLineChars="200"/>
              <w:rPr>
                <w:rFonts w:ascii="Times New Roman" w:hAnsi="Times New Roman" w:eastAsia="宋体" w:cs="Times New Roman"/>
                <w:szCs w:val="21"/>
              </w:rPr>
            </w:pPr>
            <w:r>
              <w:rPr>
                <w:rFonts w:hint="eastAsia" w:ascii="Times New Roman" w:hAnsi="Times New Roman" w:eastAsia="宋体" w:cs="Times New Roman"/>
                <w:b/>
                <w:bCs/>
                <w:szCs w:val="21"/>
                <w:lang w:bidi="ar"/>
              </w:rPr>
              <w:t>问题</w:t>
            </w:r>
            <w:r>
              <w:rPr>
                <w:rFonts w:ascii="Times New Roman" w:hAnsi="Times New Roman" w:eastAsia="宋体" w:cs="Times New Roman"/>
                <w:b/>
                <w:bCs/>
                <w:szCs w:val="21"/>
                <w:lang w:bidi="ar"/>
              </w:rPr>
              <w:t>2</w:t>
            </w:r>
            <w:r>
              <w:rPr>
                <w:rFonts w:hint="eastAsia" w:ascii="Times New Roman" w:hAnsi="Times New Roman" w:eastAsia="宋体" w:cs="Times New Roman"/>
                <w:b/>
                <w:bCs/>
                <w:szCs w:val="21"/>
                <w:lang w:bidi="ar"/>
              </w:rPr>
              <w:t>：请问公司O</w:t>
            </w:r>
            <w:r>
              <w:rPr>
                <w:rFonts w:ascii="Times New Roman" w:hAnsi="Times New Roman" w:eastAsia="宋体" w:cs="Times New Roman"/>
                <w:b/>
                <w:bCs/>
                <w:szCs w:val="21"/>
                <w:lang w:bidi="ar"/>
              </w:rPr>
              <w:t>LED</w:t>
            </w:r>
            <w:r>
              <w:rPr>
                <w:rFonts w:hint="eastAsia" w:ascii="Times New Roman" w:hAnsi="Times New Roman" w:eastAsia="宋体" w:cs="Times New Roman"/>
                <w:b/>
                <w:bCs/>
                <w:szCs w:val="21"/>
                <w:lang w:bidi="ar"/>
              </w:rPr>
              <w:t>终端材料产品布局及研发进展情况？</w:t>
            </w:r>
          </w:p>
          <w:p>
            <w:pPr>
              <w:widowControl/>
              <w:spacing w:before="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答：公司OLED终端材料产品布局涵盖了红、绿、蓝三色发光层材料、空穴传输层材料、空穴阻挡层材料和电子传输层材料等核心材料，技术贯穿材料设计、合成、器件制备及评测等方面，具有深厚技术积累和研发储备。研发进展方面，Red Prime材料及Green Host材料凭借稳定可靠的性能，持续为客户进行量产供应，并且根据下游客户需求进行迭代升级；新产品Red Host材料实现小批量供货，Green Prime材料处于客户量产测试阶段，蓝光系列材料在客户端验证进展良好，进一步丰富公司的产品线，为公司带来新的业务增长机会。新兴领域布局方面，公司在硅基OLED领域取得重要进展，多支发光材料在硅基OLED器件中的测试表现优良，部分产品已成功通过国兆光电、观宇、创视界等客户的量产测试，等待量产导入。新技术布局方面，公司积极开展前沿技术研发，如Tandem器件（叠层）关键发光材料、CGL材料、蓝色磷光材料、高色域显示及敏化显示用TADF材料、钙钛矿等材料的研发，为公司未来发展储备技术力量。知识产</w:t>
            </w:r>
            <w:bookmarkStart w:id="0" w:name="_GoBack"/>
            <w:bookmarkEnd w:id="0"/>
            <w:r>
              <w:rPr>
                <w:rFonts w:hint="eastAsia" w:ascii="Times New Roman" w:hAnsi="Times New Roman" w:eastAsia="宋体" w:cs="Times New Roman"/>
                <w:szCs w:val="21"/>
              </w:rPr>
              <w:t>权成果方面，截至2</w:t>
            </w:r>
            <w:r>
              <w:rPr>
                <w:rFonts w:ascii="Times New Roman" w:hAnsi="Times New Roman" w:eastAsia="宋体" w:cs="Times New Roman"/>
                <w:szCs w:val="21"/>
              </w:rPr>
              <w:t>024</w:t>
            </w:r>
            <w:r>
              <w:rPr>
                <w:rFonts w:hint="eastAsia" w:ascii="Times New Roman" w:hAnsi="Times New Roman" w:eastAsia="宋体" w:cs="Times New Roman"/>
                <w:szCs w:val="21"/>
              </w:rPr>
              <w:t>年末，公司累计申请专利数量973件，获得授权专利3</w:t>
            </w:r>
            <w:r>
              <w:rPr>
                <w:rFonts w:ascii="Times New Roman" w:hAnsi="Times New Roman" w:eastAsia="宋体" w:cs="Times New Roman"/>
                <w:szCs w:val="21"/>
              </w:rPr>
              <w:t>67</w:t>
            </w:r>
            <w:r>
              <w:rPr>
                <w:rFonts w:hint="eastAsia" w:ascii="Times New Roman" w:hAnsi="Times New Roman" w:eastAsia="宋体" w:cs="Times New Roman"/>
                <w:szCs w:val="21"/>
              </w:rPr>
              <w:t>件，有效保障公司研发成果与市场竞争力。2025年，公司将继续坚持创新驱动，加大研发投入，不断丰富产品矩阵，争取在更多品类产品的量产和新技术突破上取得更大进展，为公司业务持续发展奠定坚实基础。</w:t>
            </w:r>
          </w:p>
          <w:p>
            <w:pPr>
              <w:widowControl/>
              <w:spacing w:before="50" w:line="360" w:lineRule="auto"/>
              <w:ind w:firstLine="422" w:firstLineChars="200"/>
              <w:rPr>
                <w:rFonts w:ascii="Times New Roman" w:hAnsi="Times New Roman" w:eastAsia="宋体" w:cs="Times New Roman"/>
                <w:szCs w:val="21"/>
                <w:shd w:val="clear" w:color="auto" w:fill="FFFFFF"/>
              </w:rPr>
            </w:pPr>
            <w:r>
              <w:rPr>
                <w:rFonts w:ascii="Times New Roman" w:hAnsi="Times New Roman" w:eastAsia="宋体" w:cs="Times New Roman"/>
                <w:b/>
                <w:bCs/>
                <w:szCs w:val="21"/>
                <w:shd w:val="clear" w:color="auto" w:fill="FFFFFF"/>
              </w:rPr>
              <w:t>问题3：</w:t>
            </w:r>
            <w:r>
              <w:rPr>
                <w:rFonts w:hint="eastAsia" w:ascii="Times New Roman" w:hAnsi="Times New Roman" w:eastAsia="宋体" w:cs="Times New Roman"/>
                <w:b/>
                <w:bCs/>
                <w:szCs w:val="21"/>
                <w:shd w:val="clear" w:color="auto" w:fill="FFFFFF"/>
              </w:rPr>
              <w:t>请问京东方8.6代线进展如何？对于公司材料有何影响？</w:t>
            </w:r>
          </w:p>
          <w:p>
            <w:pPr>
              <w:widowControl/>
              <w:spacing w:before="50" w:line="360" w:lineRule="auto"/>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答</w:t>
            </w:r>
            <w:r>
              <w:rPr>
                <w:rFonts w:hint="eastAsia" w:ascii="Times New Roman" w:hAnsi="Times New Roman" w:eastAsia="宋体" w:cs="Times New Roman"/>
                <w:szCs w:val="21"/>
                <w:shd w:val="clear" w:color="auto" w:fill="FFFFFF"/>
              </w:rPr>
              <w:t>：</w:t>
            </w:r>
            <w:r>
              <w:rPr>
                <w:rFonts w:ascii="Times New Roman" w:hAnsi="Times New Roman" w:eastAsia="宋体" w:cs="Times New Roman"/>
                <w:szCs w:val="21"/>
                <w:shd w:val="clear" w:color="auto" w:fill="FFFFFF"/>
              </w:rPr>
              <w:t>根据公开资料，京东方第8.6代AMOLED生产线已于2024年3月完成奠基，9月完成封顶，预计于2026年底实现量产。京东方投建国内首条第8.6代AMOLED生产线，主要生产笔记本电脑、平板电脑等智能终端高端触控OLED显示屏，采用LTPO背板技术与叠层发光器件制备工艺，使OLED屏幕实现更低的功耗和更长的使用寿命，有望带动下游笔记本及平板电脑产品的迭代升级，其8.6代OLED基板尺寸面积相比于6代线基板扩大2.16倍，可显著提升基板切割效率并降低成本分摊。随着京东方8.6代AMOLED生产线的建设及未来量产，作为京东方的重要供应商，公司的OLED终端材料业务将迎来更为广阔的发展空间。</w:t>
            </w:r>
          </w:p>
          <w:p>
            <w:pPr>
              <w:widowControl/>
              <w:spacing w:before="50" w:line="360" w:lineRule="auto"/>
              <w:ind w:firstLine="422" w:firstLineChars="200"/>
              <w:rPr>
                <w:rFonts w:ascii="Times New Roman" w:hAnsi="Times New Roman" w:eastAsia="宋体" w:cs="Times New Roman"/>
                <w:b/>
                <w:bCs/>
                <w:szCs w:val="21"/>
                <w:lang w:bidi="ar"/>
              </w:rPr>
            </w:pPr>
            <w:r>
              <w:rPr>
                <w:rFonts w:ascii="Times New Roman" w:hAnsi="Times New Roman" w:eastAsia="宋体" w:cs="Times New Roman"/>
                <w:b/>
                <w:bCs/>
                <w:szCs w:val="21"/>
                <w:lang w:bidi="ar"/>
              </w:rPr>
              <w:t>问题4：</w:t>
            </w:r>
            <w:r>
              <w:rPr>
                <w:rFonts w:hint="eastAsia" w:ascii="Times New Roman" w:hAnsi="Times New Roman" w:eastAsia="宋体" w:cs="Times New Roman"/>
                <w:b/>
                <w:bCs/>
                <w:szCs w:val="21"/>
                <w:lang w:bidi="ar"/>
              </w:rPr>
              <w:t>公司今年还有新增产能吗？</w:t>
            </w:r>
          </w:p>
          <w:p>
            <w:pPr>
              <w:widowControl/>
              <w:spacing w:before="50" w:line="360" w:lineRule="auto"/>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szCs w:val="21"/>
              </w:rPr>
              <w:t>答：</w:t>
            </w:r>
            <w:r>
              <w:rPr>
                <w:rFonts w:hint="eastAsia" w:ascii="Times New Roman" w:hAnsi="Times New Roman" w:eastAsia="宋体" w:cs="Times New Roman"/>
                <w:szCs w:val="21"/>
                <w:shd w:val="clear" w:color="auto" w:fill="FFFFFF"/>
              </w:rPr>
              <w:t>截至2024年末，公司OLED终端材料已形成产能12吨/年。2025年公司将继续稳步推进募投项目“OLED终端材料研发及产业化项目”的产能建设，遵循边建设边投用的策略，根据市场需求情况进行合理安排，确保客户订单交付。</w:t>
            </w:r>
          </w:p>
          <w:p>
            <w:pPr>
              <w:widowControl/>
              <w:spacing w:before="50" w:line="360" w:lineRule="auto"/>
              <w:ind w:firstLine="422" w:firstLineChars="200"/>
              <w:jc w:val="left"/>
              <w:rPr>
                <w:rFonts w:ascii="Times New Roman" w:hAnsi="Times New Roman" w:eastAsia="宋体" w:cs="Times New Roman"/>
                <w:b/>
                <w:szCs w:val="21"/>
                <w:lang w:bidi="ar"/>
              </w:rPr>
            </w:pPr>
            <w:r>
              <w:rPr>
                <w:rFonts w:hint="eastAsia" w:ascii="Times New Roman" w:hAnsi="Times New Roman" w:eastAsia="宋体" w:cs="Times New Roman"/>
                <w:b/>
                <w:szCs w:val="21"/>
                <w:lang w:bidi="ar"/>
              </w:rPr>
              <w:t>问题</w:t>
            </w:r>
            <w:r>
              <w:rPr>
                <w:rFonts w:ascii="Times New Roman" w:hAnsi="Times New Roman" w:eastAsia="宋体" w:cs="Times New Roman"/>
                <w:b/>
                <w:szCs w:val="21"/>
                <w:lang w:bidi="ar"/>
              </w:rPr>
              <w:t>5</w:t>
            </w:r>
            <w:r>
              <w:rPr>
                <w:rFonts w:hint="eastAsia" w:ascii="Times New Roman" w:hAnsi="Times New Roman" w:eastAsia="宋体" w:cs="Times New Roman"/>
                <w:b/>
                <w:szCs w:val="21"/>
                <w:lang w:bidi="ar"/>
              </w:rPr>
              <w:t>：请展望下公司未来业务发展规划?</w:t>
            </w:r>
          </w:p>
          <w:p>
            <w:pPr>
              <w:widowControl/>
              <w:spacing w:before="50"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shd w:val="clear" w:color="auto" w:fill="FFFFFF"/>
              </w:rPr>
              <w:t>答：OLED近年来呈现出蓬勃发展的态势，全球市场处于扩张期，智能手机、智能穿戴等小尺寸领域渗透率持续提升，折叠屏、IT类产品、车载显示等中尺寸应用迎来增长拐点。当前，全球显示面板产业重心逐步向中国转移，国内OLED面板厂商为保障供应链的稳定与安全，加快材料国产化进程，降低对进口材料的依赖，提高产业安全和自主性。公司将立足于OLED有机材料的广阔发展空间与市场机遇，加大研发投入、加强新产品及新技术开发力度，持续提升材料性能、丰富产品品类，提高市场占有率和竞争力，逐步实现产品系列化及客户全覆盖的发展战略目标。与此同时，公司积极布局钙钛矿相关业务，在材料合成工艺、性能优化及量产技术等关键环节取得了一系列研究成果，为公司未来在新能源领域的材料技术突破与产业布局形成相关技术储备。在做好OLED有机发光材料主业的基础上，公司着眼长远发展，基于业务与技术的协同性，积极探寻第二增长曲线。一方面，公司保持对市场机会的关注，积极寻找与公司发展战略比较契合、有价值的优质项目和标的，与公司现有的业务形成协同，借助外部成熟资源快速拓展新业务版图；另一方面，凭借自身技术与资源优势，自主布局新业务、培育新项目，逐步构建起多元化的业务体系，朝着新材料平台型企业的方向稳步迈进，不断提升公司市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是否涉及应当披露重大信息</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ascii="Times New Roman" w:hAnsi="Times New Roman" w:cs="Times New Roman"/>
                <w:sz w:val="24"/>
                <w:szCs w:val="22"/>
              </w:rPr>
            </w:pPr>
            <w:r>
              <w:rPr>
                <w:rFonts w:ascii="Times New Roman" w:hAnsi="Times New Roman" w:cs="Times New Roman"/>
                <w:sz w:val="24"/>
                <w:szCs w:val="22"/>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附件清单（如有）</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ascii="Times New Roman" w:hAnsi="Times New Roman" w:cs="Times New Roman"/>
                <w:sz w:val="24"/>
                <w:szCs w:val="22"/>
              </w:rPr>
            </w:pPr>
            <w:r>
              <w:rPr>
                <w:rFonts w:hint="eastAsia" w:ascii="Times New Roman" w:hAnsi="Times New Roman" w:cs="Times New Roman"/>
                <w:bCs/>
                <w:iCs/>
                <w:sz w:val="24"/>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cs="Times New Roman"/>
                <w:b/>
                <w:bCs/>
                <w:iCs/>
                <w:sz w:val="24"/>
              </w:rPr>
            </w:pPr>
            <w:r>
              <w:rPr>
                <w:rFonts w:ascii="Times New Roman" w:hAnsi="Times New Roman" w:cs="Times New Roman"/>
                <w:b/>
                <w:bCs/>
                <w:iCs/>
                <w:sz w:val="24"/>
                <w:lang w:bidi="ar"/>
              </w:rPr>
              <w:t>日期</w:t>
            </w:r>
          </w:p>
        </w:tc>
        <w:tc>
          <w:tcPr>
            <w:tcW w:w="8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beforeLines="50" w:after="156" w:afterLines="50" w:line="360" w:lineRule="auto"/>
              <w:jc w:val="left"/>
              <w:rPr>
                <w:rFonts w:ascii="Times New Roman" w:hAnsi="Times New Roman" w:cs="Times New Roman"/>
                <w:iCs/>
                <w:sz w:val="24"/>
              </w:rPr>
            </w:pPr>
            <w:r>
              <w:rPr>
                <w:rFonts w:ascii="Times New Roman" w:hAnsi="Times New Roman" w:cs="Times New Roman"/>
                <w:bCs/>
                <w:iCs/>
                <w:sz w:val="24"/>
                <w:lang w:bidi="ar"/>
              </w:rPr>
              <w:t>202</w:t>
            </w:r>
            <w:r>
              <w:rPr>
                <w:rFonts w:hint="eastAsia" w:ascii="Times New Roman" w:hAnsi="Times New Roman" w:cs="Times New Roman"/>
                <w:bCs/>
                <w:iCs/>
                <w:sz w:val="24"/>
                <w:lang w:bidi="ar"/>
              </w:rPr>
              <w:t>5</w:t>
            </w:r>
            <w:r>
              <w:rPr>
                <w:rFonts w:ascii="Times New Roman" w:hAnsi="Times New Roman" w:cs="Times New Roman"/>
                <w:bCs/>
                <w:iCs/>
                <w:sz w:val="24"/>
                <w:lang w:bidi="ar"/>
              </w:rPr>
              <w:t>年</w:t>
            </w:r>
            <w:r>
              <w:rPr>
                <w:rFonts w:hint="eastAsia" w:ascii="Times New Roman" w:hAnsi="Times New Roman" w:cs="Times New Roman"/>
                <w:bCs/>
                <w:iCs/>
                <w:sz w:val="24"/>
                <w:lang w:bidi="ar"/>
              </w:rPr>
              <w:t>5月1</w:t>
            </w:r>
            <w:r>
              <w:rPr>
                <w:rFonts w:ascii="Times New Roman" w:hAnsi="Times New Roman" w:cs="Times New Roman"/>
                <w:bCs/>
                <w:iCs/>
                <w:sz w:val="24"/>
                <w:lang w:bidi="ar"/>
              </w:rPr>
              <w:t>6</w:t>
            </w:r>
            <w:r>
              <w:rPr>
                <w:rFonts w:hint="eastAsia" w:ascii="Times New Roman" w:hAnsi="Times New Roman" w:cs="Times New Roman"/>
                <w:bCs/>
                <w:iCs/>
                <w:sz w:val="24"/>
                <w:lang w:bidi="ar"/>
              </w:rPr>
              <w:t>日</w:t>
            </w:r>
          </w:p>
        </w:tc>
      </w:tr>
    </w:tbl>
    <w:p>
      <w:r>
        <w:br w:type="page"/>
      </w:r>
    </w:p>
    <w:p/>
    <w:p>
      <w:pPr>
        <w:widowControl/>
        <w:jc w:val="left"/>
        <w:rPr>
          <w:rFonts w:ascii="Times New Roman" w:hAnsi="Times New Roman" w:cs="Times New Roman"/>
          <w:sz w:val="24"/>
        </w:rPr>
      </w:pPr>
      <w:r>
        <w:rPr>
          <w:rFonts w:ascii="Times New Roman" w:hAnsi="Times New Roman" w:cs="Times New Roman"/>
          <w:b/>
          <w:sz w:val="24"/>
          <w:lang w:bidi="ar"/>
        </w:rPr>
        <w:t>附件：</w:t>
      </w:r>
    </w:p>
    <w:p>
      <w:pPr>
        <w:widowControl/>
        <w:spacing w:before="156" w:beforeLines="50" w:after="156" w:afterLines="50" w:line="360" w:lineRule="auto"/>
        <w:jc w:val="center"/>
        <w:rPr>
          <w:rFonts w:ascii="Times New Roman" w:hAnsi="Times New Roman" w:cs="Times New Roman"/>
          <w:b/>
          <w:sz w:val="24"/>
          <w:szCs w:val="22"/>
        </w:rPr>
      </w:pPr>
      <w:r>
        <w:rPr>
          <w:rFonts w:ascii="Times New Roman" w:hAnsi="Times New Roman" w:cs="Times New Roman"/>
          <w:b/>
          <w:sz w:val="24"/>
          <w:szCs w:val="22"/>
          <w:lang w:bidi="ar"/>
        </w:rPr>
        <w:t>陕西莱特光电材料股份有限公司</w:t>
      </w:r>
      <w:r>
        <w:rPr>
          <w:rFonts w:hint="eastAsia" w:ascii="Times New Roman" w:hAnsi="Times New Roman" w:cs="Times New Roman"/>
          <w:b/>
          <w:sz w:val="24"/>
          <w:szCs w:val="22"/>
          <w:lang w:bidi="ar"/>
        </w:rPr>
        <w:t>2025年5月14日至2025年5月15日</w:t>
      </w:r>
      <w:r>
        <w:rPr>
          <w:rFonts w:ascii="Times New Roman" w:hAnsi="Times New Roman" w:cs="Times New Roman"/>
          <w:b/>
          <w:sz w:val="24"/>
          <w:szCs w:val="22"/>
          <w:lang w:bidi="ar"/>
        </w:rPr>
        <w:t>参会名单</w:t>
      </w:r>
    </w:p>
    <w:tbl>
      <w:tblPr>
        <w:tblStyle w:val="6"/>
        <w:tblW w:w="4995" w:type="pct"/>
        <w:tblInd w:w="0" w:type="dxa"/>
        <w:tblLayout w:type="autofit"/>
        <w:tblCellMar>
          <w:top w:w="0" w:type="dxa"/>
          <w:left w:w="108" w:type="dxa"/>
          <w:bottom w:w="0" w:type="dxa"/>
          <w:right w:w="108" w:type="dxa"/>
        </w:tblCellMar>
      </w:tblPr>
      <w:tblGrid>
        <w:gridCol w:w="1274"/>
        <w:gridCol w:w="4284"/>
        <w:gridCol w:w="4284"/>
      </w:tblGrid>
      <w:tr>
        <w:tblPrEx>
          <w:tblCellMar>
            <w:top w:w="0" w:type="dxa"/>
            <w:left w:w="108" w:type="dxa"/>
            <w:bottom w:w="0" w:type="dxa"/>
            <w:right w:w="108" w:type="dxa"/>
          </w:tblCellMar>
        </w:tblPrEx>
        <w:trPr>
          <w:trHeight w:val="420" w:hRule="atLeast"/>
        </w:trPr>
        <w:tc>
          <w:tcPr>
            <w:tcW w:w="647" w:type="pct"/>
            <w:tcBorders>
              <w:top w:val="single" w:color="000000" w:sz="8" w:space="0"/>
              <w:left w:val="single" w:color="000000" w:sz="8" w:space="0"/>
              <w:bottom w:val="single" w:color="000000" w:sz="8" w:space="0"/>
              <w:right w:val="single" w:color="000000" w:sz="8" w:space="0"/>
            </w:tcBorders>
            <w:shd w:val="clear" w:color="auto" w:fill="DBE5F1"/>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176" w:type="pct"/>
            <w:tcBorders>
              <w:top w:val="single" w:color="000000" w:sz="8" w:space="0"/>
              <w:left w:val="nil"/>
              <w:bottom w:val="single" w:color="000000" w:sz="8" w:space="0"/>
              <w:right w:val="single" w:color="000000" w:sz="8" w:space="0"/>
            </w:tcBorders>
            <w:shd w:val="clear" w:color="auto" w:fill="DBE5F1"/>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机构名称</w:t>
            </w:r>
          </w:p>
        </w:tc>
        <w:tc>
          <w:tcPr>
            <w:tcW w:w="2176" w:type="pct"/>
            <w:tcBorders>
              <w:top w:val="single" w:color="000000" w:sz="8" w:space="0"/>
              <w:left w:val="nil"/>
              <w:bottom w:val="single" w:color="000000" w:sz="8" w:space="0"/>
              <w:right w:val="single" w:color="000000" w:sz="8" w:space="0"/>
            </w:tcBorders>
            <w:shd w:val="clear" w:color="auto" w:fill="DBE5F1"/>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参与人员姓名</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广发基金</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贾乃鑫</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国泰海通证券</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高瑞</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3</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天风证券</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高静怡</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4</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华泰证券</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bidi="ar"/>
              </w:rPr>
              <w:t>冯健豪、王越</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田莫充、王兴</w:t>
            </w:r>
          </w:p>
        </w:tc>
      </w:tr>
      <w:tr>
        <w:tblPrEx>
          <w:tblCellMar>
            <w:top w:w="0" w:type="dxa"/>
            <w:left w:w="108" w:type="dxa"/>
            <w:bottom w:w="0" w:type="dxa"/>
            <w:right w:w="108" w:type="dxa"/>
          </w:tblCellMar>
        </w:tblPrEx>
        <w:trPr>
          <w:trHeight w:val="306"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5</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华夏基金</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张俊、柯若凡</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6</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新华资产</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季文华、李浪、胡朝凤</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7</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深圳前海粤资基金</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付学超</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8</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广东林锐基金</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姬永锋</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9</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西安曲江祥汇私募基金</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向芸、王雨婷</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10</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陕西金控创新投资</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杨斌</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11</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陕西德盈私募</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阚皓丞、滕世轩</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12</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塔基私募</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洪家旺</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13</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上海添笙投资</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陆忆楠</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14</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成都金枫银帆投资</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王凌岚</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15</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深圳鑫泰乐投资</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施东辰</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16</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四川汇聚投资</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谢红丽</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17</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上海尚颀资本</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宋明</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18</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中赫埃森</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李欣遥</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19</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上海浦东科幻协会</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窦少鹏</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20</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罗成</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21</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朱海琳</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22</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王小波</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23</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朱小强</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24</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顾校杰</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25</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陈东振</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26</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吴争辉</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27</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李滨</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28</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柴涛</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29</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徐长江</w:t>
            </w:r>
          </w:p>
        </w:tc>
      </w:tr>
      <w:tr>
        <w:tblPrEx>
          <w:tblCellMar>
            <w:top w:w="0" w:type="dxa"/>
            <w:left w:w="108" w:type="dxa"/>
            <w:bottom w:w="0" w:type="dxa"/>
            <w:right w:w="108" w:type="dxa"/>
          </w:tblCellMar>
        </w:tblPrEx>
        <w:trPr>
          <w:trHeight w:val="315" w:hRule="atLeast"/>
        </w:trPr>
        <w:tc>
          <w:tcPr>
            <w:tcW w:w="647"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30</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个人投资者</w:t>
            </w:r>
          </w:p>
        </w:tc>
        <w:tc>
          <w:tcPr>
            <w:tcW w:w="217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0"/>
                <w:sz w:val="22"/>
                <w:szCs w:val="22"/>
                <w:highlight w:val="none"/>
                <w:lang w:bidi="ar"/>
              </w:rPr>
              <w:t>李毅贤</w:t>
            </w:r>
          </w:p>
        </w:tc>
      </w:tr>
    </w:tbl>
    <w:p/>
    <w:p/>
    <w:sectPr>
      <w:pgSz w:w="11906" w:h="16838"/>
      <w:pgMar w:top="1135" w:right="1135" w:bottom="851"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ODUzMWNiZTkwMWIxNGVhZWZiMWI2NDI3ZTRlZjkifQ=="/>
  </w:docVars>
  <w:rsids>
    <w:rsidRoot w:val="09ED5870"/>
    <w:rsid w:val="0000515D"/>
    <w:rsid w:val="0016293D"/>
    <w:rsid w:val="001C4830"/>
    <w:rsid w:val="0023619C"/>
    <w:rsid w:val="00237321"/>
    <w:rsid w:val="00276EFF"/>
    <w:rsid w:val="002870D4"/>
    <w:rsid w:val="002C27AD"/>
    <w:rsid w:val="00303410"/>
    <w:rsid w:val="003523A7"/>
    <w:rsid w:val="003559FE"/>
    <w:rsid w:val="003E6839"/>
    <w:rsid w:val="0042313A"/>
    <w:rsid w:val="004359D4"/>
    <w:rsid w:val="00450E4E"/>
    <w:rsid w:val="004A0AB6"/>
    <w:rsid w:val="004A7620"/>
    <w:rsid w:val="00561F8B"/>
    <w:rsid w:val="0060627F"/>
    <w:rsid w:val="00615A3A"/>
    <w:rsid w:val="006C294A"/>
    <w:rsid w:val="006D3370"/>
    <w:rsid w:val="006E4FF9"/>
    <w:rsid w:val="007148CA"/>
    <w:rsid w:val="00746C9F"/>
    <w:rsid w:val="00815C71"/>
    <w:rsid w:val="008D1B2D"/>
    <w:rsid w:val="008E4F51"/>
    <w:rsid w:val="0091145E"/>
    <w:rsid w:val="0093731C"/>
    <w:rsid w:val="00A5717D"/>
    <w:rsid w:val="00A84A3B"/>
    <w:rsid w:val="00AA4350"/>
    <w:rsid w:val="00AA68F1"/>
    <w:rsid w:val="00B13BFE"/>
    <w:rsid w:val="00B606CE"/>
    <w:rsid w:val="00B85029"/>
    <w:rsid w:val="00C24C9F"/>
    <w:rsid w:val="00CE1C6F"/>
    <w:rsid w:val="00CE7835"/>
    <w:rsid w:val="00D23546"/>
    <w:rsid w:val="00D348A8"/>
    <w:rsid w:val="00D532C9"/>
    <w:rsid w:val="00D617AF"/>
    <w:rsid w:val="00D707EA"/>
    <w:rsid w:val="00D92C52"/>
    <w:rsid w:val="00E32B36"/>
    <w:rsid w:val="00E503E9"/>
    <w:rsid w:val="00E63C4F"/>
    <w:rsid w:val="00E83E8E"/>
    <w:rsid w:val="00EB1320"/>
    <w:rsid w:val="00ED4DFD"/>
    <w:rsid w:val="00F10F74"/>
    <w:rsid w:val="00F62C66"/>
    <w:rsid w:val="010D7DD7"/>
    <w:rsid w:val="012F41F1"/>
    <w:rsid w:val="01975CC6"/>
    <w:rsid w:val="01D83502"/>
    <w:rsid w:val="02012CA2"/>
    <w:rsid w:val="024B505A"/>
    <w:rsid w:val="02510197"/>
    <w:rsid w:val="0296107E"/>
    <w:rsid w:val="029A6F7D"/>
    <w:rsid w:val="03825496"/>
    <w:rsid w:val="039C3694"/>
    <w:rsid w:val="03F31506"/>
    <w:rsid w:val="04636074"/>
    <w:rsid w:val="04D81A19"/>
    <w:rsid w:val="053022E6"/>
    <w:rsid w:val="05314A48"/>
    <w:rsid w:val="05F371F7"/>
    <w:rsid w:val="062956B3"/>
    <w:rsid w:val="07991C98"/>
    <w:rsid w:val="08323B19"/>
    <w:rsid w:val="08BB5C63"/>
    <w:rsid w:val="094D1160"/>
    <w:rsid w:val="09ED5870"/>
    <w:rsid w:val="0BDB744F"/>
    <w:rsid w:val="0D972EDF"/>
    <w:rsid w:val="0F344D93"/>
    <w:rsid w:val="0F692FC4"/>
    <w:rsid w:val="10376C29"/>
    <w:rsid w:val="10D95CB2"/>
    <w:rsid w:val="11C81806"/>
    <w:rsid w:val="11EB4770"/>
    <w:rsid w:val="13256902"/>
    <w:rsid w:val="134D0507"/>
    <w:rsid w:val="13E25769"/>
    <w:rsid w:val="144B713C"/>
    <w:rsid w:val="155C2C83"/>
    <w:rsid w:val="16493207"/>
    <w:rsid w:val="170D42EA"/>
    <w:rsid w:val="17FF2717"/>
    <w:rsid w:val="188A51D8"/>
    <w:rsid w:val="18B0021C"/>
    <w:rsid w:val="190A1374"/>
    <w:rsid w:val="193F7174"/>
    <w:rsid w:val="19DE010A"/>
    <w:rsid w:val="1C9117EA"/>
    <w:rsid w:val="1CCA1BB8"/>
    <w:rsid w:val="1EBB0A1A"/>
    <w:rsid w:val="1ED657E9"/>
    <w:rsid w:val="1F0625DD"/>
    <w:rsid w:val="1FCF2ABC"/>
    <w:rsid w:val="1FF22B62"/>
    <w:rsid w:val="204838A0"/>
    <w:rsid w:val="206F7D0E"/>
    <w:rsid w:val="208A6C03"/>
    <w:rsid w:val="21A17A85"/>
    <w:rsid w:val="22032E04"/>
    <w:rsid w:val="24A73237"/>
    <w:rsid w:val="24D34D10"/>
    <w:rsid w:val="24D941F5"/>
    <w:rsid w:val="260C3E00"/>
    <w:rsid w:val="26924756"/>
    <w:rsid w:val="26AE7782"/>
    <w:rsid w:val="26C30DB4"/>
    <w:rsid w:val="285514BC"/>
    <w:rsid w:val="29064F88"/>
    <w:rsid w:val="299D3B3E"/>
    <w:rsid w:val="29F95B61"/>
    <w:rsid w:val="2B8F5708"/>
    <w:rsid w:val="2C8E0BFD"/>
    <w:rsid w:val="2D2B320F"/>
    <w:rsid w:val="2ECD6C74"/>
    <w:rsid w:val="2FAC781C"/>
    <w:rsid w:val="2FCF07C9"/>
    <w:rsid w:val="30375A1D"/>
    <w:rsid w:val="30444C19"/>
    <w:rsid w:val="31EA5447"/>
    <w:rsid w:val="329F26D5"/>
    <w:rsid w:val="32AF043E"/>
    <w:rsid w:val="32B55A55"/>
    <w:rsid w:val="32E26A66"/>
    <w:rsid w:val="3325691E"/>
    <w:rsid w:val="33D939C5"/>
    <w:rsid w:val="33DB598F"/>
    <w:rsid w:val="3577566A"/>
    <w:rsid w:val="35B91294"/>
    <w:rsid w:val="35BB5A93"/>
    <w:rsid w:val="381402C8"/>
    <w:rsid w:val="39447B32"/>
    <w:rsid w:val="39B32F0A"/>
    <w:rsid w:val="3A4122C4"/>
    <w:rsid w:val="3A8D5509"/>
    <w:rsid w:val="3B8161B9"/>
    <w:rsid w:val="3BE21884"/>
    <w:rsid w:val="3C241E9D"/>
    <w:rsid w:val="3C4340D1"/>
    <w:rsid w:val="3CED6733"/>
    <w:rsid w:val="3D1553DB"/>
    <w:rsid w:val="3D584C3D"/>
    <w:rsid w:val="3D9A2417"/>
    <w:rsid w:val="3E481E73"/>
    <w:rsid w:val="3FDD6172"/>
    <w:rsid w:val="3FED4F6D"/>
    <w:rsid w:val="40F65123"/>
    <w:rsid w:val="41B62D25"/>
    <w:rsid w:val="4348021F"/>
    <w:rsid w:val="438147D1"/>
    <w:rsid w:val="442D1A71"/>
    <w:rsid w:val="447F5EC2"/>
    <w:rsid w:val="45CD0A54"/>
    <w:rsid w:val="46C866F6"/>
    <w:rsid w:val="476B4E24"/>
    <w:rsid w:val="47871694"/>
    <w:rsid w:val="47D429C9"/>
    <w:rsid w:val="47E66258"/>
    <w:rsid w:val="47FA0BDD"/>
    <w:rsid w:val="49867CF3"/>
    <w:rsid w:val="499F0DB5"/>
    <w:rsid w:val="49B54134"/>
    <w:rsid w:val="4A5F3BCC"/>
    <w:rsid w:val="4C69403F"/>
    <w:rsid w:val="4CC21042"/>
    <w:rsid w:val="4E010709"/>
    <w:rsid w:val="4E3917D8"/>
    <w:rsid w:val="509947B0"/>
    <w:rsid w:val="50AF5D81"/>
    <w:rsid w:val="511B6F73"/>
    <w:rsid w:val="51B31BC1"/>
    <w:rsid w:val="52162767"/>
    <w:rsid w:val="52611934"/>
    <w:rsid w:val="531E7A45"/>
    <w:rsid w:val="539B439B"/>
    <w:rsid w:val="552C5BF2"/>
    <w:rsid w:val="55387588"/>
    <w:rsid w:val="55BB2AD2"/>
    <w:rsid w:val="573C35C9"/>
    <w:rsid w:val="575013A1"/>
    <w:rsid w:val="5875340D"/>
    <w:rsid w:val="58ED5175"/>
    <w:rsid w:val="59D95C1D"/>
    <w:rsid w:val="5A6C6A91"/>
    <w:rsid w:val="5B6641ED"/>
    <w:rsid w:val="5C013209"/>
    <w:rsid w:val="5C166CB5"/>
    <w:rsid w:val="5C983B6D"/>
    <w:rsid w:val="5D026789"/>
    <w:rsid w:val="5D543665"/>
    <w:rsid w:val="5E6617A9"/>
    <w:rsid w:val="5F7A2286"/>
    <w:rsid w:val="5F917744"/>
    <w:rsid w:val="602120CC"/>
    <w:rsid w:val="602364FC"/>
    <w:rsid w:val="61461FA8"/>
    <w:rsid w:val="624125B1"/>
    <w:rsid w:val="624B51DE"/>
    <w:rsid w:val="62A06426"/>
    <w:rsid w:val="62D41677"/>
    <w:rsid w:val="64836EB1"/>
    <w:rsid w:val="649C0675"/>
    <w:rsid w:val="64A07A63"/>
    <w:rsid w:val="64FD020B"/>
    <w:rsid w:val="65FE49D8"/>
    <w:rsid w:val="660B3D1D"/>
    <w:rsid w:val="66A240CC"/>
    <w:rsid w:val="68A51AEC"/>
    <w:rsid w:val="696C260A"/>
    <w:rsid w:val="698B4480"/>
    <w:rsid w:val="699C3992"/>
    <w:rsid w:val="6A5512F0"/>
    <w:rsid w:val="6A8F2708"/>
    <w:rsid w:val="6AD541DF"/>
    <w:rsid w:val="6B60619E"/>
    <w:rsid w:val="6BFB1A23"/>
    <w:rsid w:val="6C150EE6"/>
    <w:rsid w:val="6CF7043C"/>
    <w:rsid w:val="6D183A32"/>
    <w:rsid w:val="6D4D62AE"/>
    <w:rsid w:val="6D947F8B"/>
    <w:rsid w:val="6FDE58E3"/>
    <w:rsid w:val="70AB3BE8"/>
    <w:rsid w:val="70C66AA3"/>
    <w:rsid w:val="70ED2282"/>
    <w:rsid w:val="71016B88"/>
    <w:rsid w:val="71AF05F5"/>
    <w:rsid w:val="72874010"/>
    <w:rsid w:val="72AC0553"/>
    <w:rsid w:val="73B7063C"/>
    <w:rsid w:val="7428537F"/>
    <w:rsid w:val="743B2FB6"/>
    <w:rsid w:val="749B50F4"/>
    <w:rsid w:val="750A09BD"/>
    <w:rsid w:val="751A15A2"/>
    <w:rsid w:val="75232716"/>
    <w:rsid w:val="75F60CA4"/>
    <w:rsid w:val="76452218"/>
    <w:rsid w:val="78394CB2"/>
    <w:rsid w:val="7846246B"/>
    <w:rsid w:val="79490272"/>
    <w:rsid w:val="79654980"/>
    <w:rsid w:val="7A124B07"/>
    <w:rsid w:val="7A8E3997"/>
    <w:rsid w:val="7ADF6568"/>
    <w:rsid w:val="7B260758"/>
    <w:rsid w:val="7B4A02D1"/>
    <w:rsid w:val="7B9E6925"/>
    <w:rsid w:val="7BAF2C7A"/>
    <w:rsid w:val="7C713B8D"/>
    <w:rsid w:val="7DDA3B8E"/>
    <w:rsid w:val="7E3F39F1"/>
    <w:rsid w:val="7EFB200E"/>
    <w:rsid w:val="7EFC7B34"/>
    <w:rsid w:val="7F083346"/>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tabs>
        <w:tab w:val="center" w:pos="4153"/>
        <w:tab w:val="right" w:pos="8306"/>
      </w:tabs>
      <w:snapToGrid w:val="0"/>
      <w:jc w:val="center"/>
    </w:pPr>
    <w:rPr>
      <w:sz w:val="18"/>
      <w:szCs w:val="18"/>
    </w:rPr>
  </w:style>
  <w:style w:type="character" w:styleId="8">
    <w:name w:val="Strong"/>
    <w:basedOn w:val="7"/>
    <w:autoRedefine/>
    <w:qFormat/>
    <w:uiPriority w:val="0"/>
    <w:rPr>
      <w:b/>
    </w:rPr>
  </w:style>
  <w:style w:type="character" w:customStyle="1" w:styleId="9">
    <w:name w:val="页眉 字符"/>
    <w:basedOn w:val="7"/>
    <w:link w:val="5"/>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2344</Words>
  <Characters>565</Characters>
  <Lines>4</Lines>
  <Paragraphs>5</Paragraphs>
  <TotalTime>9</TotalTime>
  <ScaleCrop>false</ScaleCrop>
  <LinksUpToDate>false</LinksUpToDate>
  <CharactersWithSpaces>2904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2025-05-16T09:26:00Z</dcterms:created>
  <dc:creator>张尊睿</dc:creator>
  <cp:lastModifiedBy>KP</cp:lastModifiedBy>
  <dcterms:modified xsi:type="dcterms:W3CDTF">2025-05-16T10:27:31Z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A5CF3FC8CA284D4ABF3A70396BE2D877_13</vt:lpwstr>
  </property>
  <property fmtid="{D5CDD505-2E9C-101B-9397-08002B2CF9AE}" pid="4" name="KSOTemplateDocerSaveRecord">
    <vt:lpwstr>eyJoZGlkIjoiOTZhN2FhNjJiOGQwOGUyOWUxYjBiMDhkMmY4NjgyMzMiLCJ1c2VySWQiOiIxMDczODMxODQxIn0=</vt:lpwstr>
  </property>
</Properties>
</file>