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FE89" w14:textId="77777777" w:rsidR="005B0207"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605266                             </w:t>
      </w:r>
      <w:r>
        <w:rPr>
          <w:rFonts w:hAnsi="宋体"/>
          <w:bCs/>
          <w:iCs/>
          <w:color w:val="000000"/>
          <w:sz w:val="24"/>
        </w:rPr>
        <w:t>证券简称：</w:t>
      </w:r>
      <w:r>
        <w:rPr>
          <w:color w:val="000000"/>
          <w:sz w:val="24"/>
        </w:rPr>
        <w:t>健之佳</w:t>
      </w:r>
    </w:p>
    <w:p w14:paraId="03BC067C" w14:textId="77777777" w:rsidR="00BE6B72"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健之佳医药连锁集团股份有限公司</w:t>
      </w:r>
    </w:p>
    <w:p w14:paraId="46AAA3B6" w14:textId="285FF162" w:rsidR="005B0207"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1B576412" w14:textId="77777777" w:rsidR="005B0207" w:rsidRDefault="00000000">
      <w:pPr>
        <w:spacing w:line="400" w:lineRule="exact"/>
        <w:rPr>
          <w:bCs/>
          <w:iCs/>
          <w:color w:val="000000"/>
          <w:sz w:val="24"/>
        </w:rPr>
      </w:pPr>
      <w:r>
        <w:rPr>
          <w:rFonts w:ascii="宋体" w:hAnsi="宋体" w:hint="eastAsia"/>
          <w:bCs/>
          <w:iCs/>
          <w:color w:val="000000"/>
          <w:sz w:val="24"/>
        </w:rPr>
        <w:t xml:space="preserve">                                                     </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7137"/>
      </w:tblGrid>
      <w:tr w:rsidR="005B0207" w14:paraId="51E78968" w14:textId="77777777" w:rsidTr="00A66D81">
        <w:trPr>
          <w:jc w:val="center"/>
        </w:trPr>
        <w:tc>
          <w:tcPr>
            <w:tcW w:w="1618" w:type="dxa"/>
            <w:tcBorders>
              <w:top w:val="single" w:sz="4" w:space="0" w:color="auto"/>
              <w:left w:val="single" w:sz="4" w:space="0" w:color="auto"/>
              <w:bottom w:val="single" w:sz="4" w:space="0" w:color="auto"/>
              <w:right w:val="single" w:sz="4" w:space="0" w:color="auto"/>
            </w:tcBorders>
            <w:vAlign w:val="center"/>
          </w:tcPr>
          <w:p w14:paraId="02A6D00C" w14:textId="77777777" w:rsidR="005B0207" w:rsidRPr="00F52742" w:rsidRDefault="00000000">
            <w:pPr>
              <w:spacing w:line="420" w:lineRule="exact"/>
              <w:rPr>
                <w:rFonts w:ascii="宋体" w:hAnsi="宋体" w:hint="eastAsia"/>
                <w:bCs/>
                <w:iCs/>
                <w:color w:val="000000"/>
                <w:kern w:val="0"/>
                <w:szCs w:val="21"/>
              </w:rPr>
            </w:pPr>
            <w:r w:rsidRPr="00F52742">
              <w:rPr>
                <w:rFonts w:ascii="宋体" w:hAnsi="宋体"/>
                <w:bCs/>
                <w:iCs/>
                <w:color w:val="000000"/>
                <w:kern w:val="0"/>
                <w:szCs w:val="21"/>
              </w:rPr>
              <w:t>投资者关系活动类别</w:t>
            </w:r>
          </w:p>
          <w:p w14:paraId="5488171A" w14:textId="77777777" w:rsidR="005B0207" w:rsidRPr="00F52742" w:rsidRDefault="005B0207">
            <w:pPr>
              <w:spacing w:line="420" w:lineRule="exact"/>
              <w:rPr>
                <w:rFonts w:ascii="宋体" w:hAnsi="宋体" w:hint="eastAsia"/>
                <w:bCs/>
                <w:iCs/>
                <w:color w:val="000000"/>
                <w:szCs w:val="21"/>
              </w:rPr>
            </w:pPr>
          </w:p>
        </w:tc>
        <w:tc>
          <w:tcPr>
            <w:tcW w:w="7137" w:type="dxa"/>
            <w:tcBorders>
              <w:top w:val="single" w:sz="4" w:space="0" w:color="auto"/>
              <w:left w:val="single" w:sz="4" w:space="0" w:color="auto"/>
              <w:bottom w:val="single" w:sz="4" w:space="0" w:color="auto"/>
              <w:right w:val="single" w:sz="4" w:space="0" w:color="auto"/>
            </w:tcBorders>
            <w:vAlign w:val="center"/>
          </w:tcPr>
          <w:p w14:paraId="03EB29E0" w14:textId="77777777" w:rsidR="005B0207" w:rsidRPr="00F52742" w:rsidRDefault="00000000">
            <w:pPr>
              <w:spacing w:line="420" w:lineRule="exact"/>
              <w:rPr>
                <w:rFonts w:ascii="宋体" w:hAnsi="宋体" w:hint="eastAsia"/>
                <w:bCs/>
                <w:iCs/>
                <w:color w:val="000000"/>
                <w:szCs w:val="21"/>
              </w:rPr>
            </w:pPr>
            <w:r w:rsidRPr="00F52742">
              <w:rPr>
                <w:rFonts w:ascii="宋体" w:hAnsi="宋体"/>
                <w:bCs/>
                <w:iCs/>
                <w:color w:val="000000"/>
                <w:kern w:val="0"/>
                <w:szCs w:val="21"/>
              </w:rPr>
              <w:t>□</w:t>
            </w:r>
            <w:r w:rsidRPr="00F52742">
              <w:rPr>
                <w:rFonts w:ascii="宋体" w:hAnsi="宋体"/>
                <w:kern w:val="0"/>
                <w:szCs w:val="21"/>
              </w:rPr>
              <w:t xml:space="preserve">特定对象调研       </w:t>
            </w:r>
            <w:r w:rsidRPr="00F52742">
              <w:rPr>
                <w:rFonts w:ascii="宋体" w:hAnsi="宋体" w:hint="eastAsia"/>
                <w:kern w:val="0"/>
                <w:szCs w:val="21"/>
              </w:rPr>
              <w:t xml:space="preserve"> </w:t>
            </w:r>
            <w:r w:rsidRPr="00F52742">
              <w:rPr>
                <w:rFonts w:ascii="宋体" w:hAnsi="宋体"/>
                <w:kern w:val="0"/>
                <w:szCs w:val="21"/>
              </w:rPr>
              <w:t xml:space="preserve"> </w:t>
            </w:r>
            <w:r w:rsidRPr="00F52742">
              <w:rPr>
                <w:rFonts w:ascii="宋体" w:hAnsi="宋体"/>
                <w:bCs/>
                <w:iCs/>
                <w:color w:val="000000"/>
                <w:kern w:val="0"/>
                <w:szCs w:val="21"/>
              </w:rPr>
              <w:t>□</w:t>
            </w:r>
            <w:r w:rsidRPr="00F52742">
              <w:rPr>
                <w:rFonts w:ascii="宋体" w:hAnsi="宋体" w:hint="eastAsia"/>
                <w:bCs/>
                <w:iCs/>
                <w:color w:val="000000"/>
                <w:kern w:val="0"/>
                <w:szCs w:val="21"/>
              </w:rPr>
              <w:t xml:space="preserve"> </w:t>
            </w:r>
            <w:r w:rsidRPr="00F52742">
              <w:rPr>
                <w:rFonts w:ascii="宋体" w:hAnsi="宋体"/>
                <w:kern w:val="0"/>
                <w:szCs w:val="21"/>
              </w:rPr>
              <w:t>分析师会议</w:t>
            </w:r>
          </w:p>
          <w:p w14:paraId="6FB2304B" w14:textId="77777777" w:rsidR="005B0207" w:rsidRPr="00F52742" w:rsidRDefault="00000000">
            <w:pPr>
              <w:spacing w:line="420" w:lineRule="exact"/>
              <w:rPr>
                <w:rFonts w:ascii="宋体" w:hAnsi="宋体" w:hint="eastAsia"/>
                <w:bCs/>
                <w:iCs/>
                <w:color w:val="000000"/>
                <w:kern w:val="0"/>
                <w:szCs w:val="21"/>
              </w:rPr>
            </w:pPr>
            <w:r w:rsidRPr="00F52742">
              <w:rPr>
                <w:rFonts w:ascii="宋体" w:hAnsi="宋体"/>
                <w:bCs/>
                <w:iCs/>
                <w:color w:val="000000"/>
                <w:kern w:val="0"/>
                <w:szCs w:val="21"/>
              </w:rPr>
              <w:t>□</w:t>
            </w:r>
            <w:r w:rsidRPr="00F52742">
              <w:rPr>
                <w:rFonts w:ascii="宋体" w:hAnsi="宋体" w:hint="eastAsia"/>
                <w:bCs/>
                <w:iCs/>
                <w:color w:val="000000"/>
                <w:kern w:val="0"/>
                <w:szCs w:val="21"/>
              </w:rPr>
              <w:t xml:space="preserve"> </w:t>
            </w:r>
            <w:r w:rsidRPr="00F52742">
              <w:rPr>
                <w:rFonts w:ascii="宋体" w:hAnsi="宋体"/>
                <w:kern w:val="0"/>
                <w:szCs w:val="21"/>
              </w:rPr>
              <w:t xml:space="preserve">媒体采访            </w:t>
            </w:r>
            <w:r w:rsidRPr="00F52742">
              <w:rPr>
                <w:rFonts w:ascii="宋体" w:hAnsi="宋体"/>
                <w:bCs/>
                <w:iCs/>
                <w:color w:val="000000"/>
                <w:kern w:val="0"/>
                <w:szCs w:val="21"/>
              </w:rPr>
              <w:t>√</w:t>
            </w:r>
            <w:r w:rsidRPr="00F52742">
              <w:rPr>
                <w:rFonts w:ascii="宋体" w:hAnsi="宋体" w:hint="eastAsia"/>
                <w:bCs/>
                <w:iCs/>
                <w:color w:val="000000"/>
                <w:kern w:val="0"/>
                <w:szCs w:val="21"/>
              </w:rPr>
              <w:t xml:space="preserve"> </w:t>
            </w:r>
            <w:r w:rsidRPr="00F52742">
              <w:rPr>
                <w:rFonts w:ascii="宋体" w:hAnsi="宋体"/>
                <w:kern w:val="0"/>
                <w:szCs w:val="21"/>
              </w:rPr>
              <w:t>业绩说明会</w:t>
            </w:r>
          </w:p>
          <w:p w14:paraId="21F396BF" w14:textId="77777777" w:rsidR="005B0207" w:rsidRPr="00F52742" w:rsidRDefault="00000000">
            <w:pPr>
              <w:spacing w:line="420" w:lineRule="exact"/>
              <w:rPr>
                <w:rFonts w:ascii="宋体" w:hAnsi="宋体" w:hint="eastAsia"/>
                <w:bCs/>
                <w:iCs/>
                <w:color w:val="000000"/>
                <w:kern w:val="0"/>
                <w:szCs w:val="21"/>
              </w:rPr>
            </w:pPr>
            <w:r w:rsidRPr="00F52742">
              <w:rPr>
                <w:rFonts w:ascii="宋体" w:hAnsi="宋体"/>
                <w:bCs/>
                <w:iCs/>
                <w:color w:val="000000"/>
                <w:kern w:val="0"/>
                <w:szCs w:val="21"/>
              </w:rPr>
              <w:t>□</w:t>
            </w:r>
            <w:r w:rsidRPr="00F52742">
              <w:rPr>
                <w:rFonts w:ascii="宋体" w:hAnsi="宋体" w:hint="eastAsia"/>
                <w:bCs/>
                <w:iCs/>
                <w:color w:val="000000"/>
                <w:kern w:val="0"/>
                <w:szCs w:val="21"/>
              </w:rPr>
              <w:t xml:space="preserve"> </w:t>
            </w:r>
            <w:r w:rsidRPr="00F52742">
              <w:rPr>
                <w:rFonts w:ascii="宋体" w:hAnsi="宋体"/>
                <w:kern w:val="0"/>
                <w:szCs w:val="21"/>
              </w:rPr>
              <w:t xml:space="preserve">新闻发布会          </w:t>
            </w:r>
            <w:r w:rsidRPr="00F52742">
              <w:rPr>
                <w:rFonts w:ascii="宋体" w:hAnsi="宋体"/>
                <w:bCs/>
                <w:iCs/>
                <w:color w:val="000000"/>
                <w:kern w:val="0"/>
                <w:szCs w:val="21"/>
              </w:rPr>
              <w:t>□</w:t>
            </w:r>
            <w:r w:rsidRPr="00F52742">
              <w:rPr>
                <w:rFonts w:ascii="宋体" w:hAnsi="宋体" w:hint="eastAsia"/>
                <w:bCs/>
                <w:iCs/>
                <w:color w:val="000000"/>
                <w:kern w:val="0"/>
                <w:szCs w:val="21"/>
              </w:rPr>
              <w:t xml:space="preserve"> </w:t>
            </w:r>
            <w:r w:rsidRPr="00F52742">
              <w:rPr>
                <w:rFonts w:ascii="宋体" w:hAnsi="宋体"/>
                <w:kern w:val="0"/>
                <w:szCs w:val="21"/>
              </w:rPr>
              <w:t>路演活动</w:t>
            </w:r>
          </w:p>
          <w:p w14:paraId="18EAEDA3" w14:textId="77777777" w:rsidR="005B0207" w:rsidRPr="00F52742" w:rsidRDefault="00000000">
            <w:pPr>
              <w:tabs>
                <w:tab w:val="left" w:pos="3045"/>
                <w:tab w:val="center" w:pos="3199"/>
              </w:tabs>
              <w:spacing w:line="420" w:lineRule="exact"/>
              <w:rPr>
                <w:rFonts w:ascii="宋体" w:hAnsi="宋体" w:hint="eastAsia"/>
                <w:bCs/>
                <w:iCs/>
                <w:color w:val="000000"/>
                <w:kern w:val="0"/>
                <w:szCs w:val="21"/>
              </w:rPr>
            </w:pPr>
            <w:r w:rsidRPr="00F52742">
              <w:rPr>
                <w:rFonts w:ascii="宋体" w:hAnsi="宋体"/>
                <w:bCs/>
                <w:iCs/>
                <w:color w:val="000000"/>
                <w:kern w:val="0"/>
                <w:szCs w:val="21"/>
              </w:rPr>
              <w:t>□</w:t>
            </w:r>
            <w:r w:rsidRPr="00F52742">
              <w:rPr>
                <w:rFonts w:ascii="宋体" w:hAnsi="宋体" w:hint="eastAsia"/>
                <w:bCs/>
                <w:iCs/>
                <w:color w:val="000000"/>
                <w:kern w:val="0"/>
                <w:szCs w:val="21"/>
              </w:rPr>
              <w:t xml:space="preserve"> </w:t>
            </w:r>
            <w:r w:rsidRPr="00F52742">
              <w:rPr>
                <w:rFonts w:ascii="宋体" w:hAnsi="宋体"/>
                <w:kern w:val="0"/>
                <w:szCs w:val="21"/>
              </w:rPr>
              <w:t>现场参观</w:t>
            </w:r>
            <w:r w:rsidRPr="00F52742">
              <w:rPr>
                <w:rFonts w:ascii="宋体" w:hAnsi="宋体"/>
                <w:bCs/>
                <w:iCs/>
                <w:color w:val="000000"/>
                <w:kern w:val="0"/>
                <w:szCs w:val="21"/>
              </w:rPr>
              <w:tab/>
            </w:r>
          </w:p>
          <w:p w14:paraId="07AB4E4D" w14:textId="77777777" w:rsidR="005B0207" w:rsidRPr="00F52742" w:rsidRDefault="00000000">
            <w:pPr>
              <w:tabs>
                <w:tab w:val="center" w:pos="3199"/>
              </w:tabs>
              <w:spacing w:line="420" w:lineRule="exact"/>
              <w:rPr>
                <w:rFonts w:ascii="宋体" w:hAnsi="宋体" w:hint="eastAsia"/>
                <w:bCs/>
                <w:iCs/>
                <w:color w:val="000000"/>
                <w:szCs w:val="21"/>
              </w:rPr>
            </w:pPr>
            <w:r w:rsidRPr="00F52742">
              <w:rPr>
                <w:rFonts w:ascii="宋体" w:hAnsi="宋体"/>
                <w:bCs/>
                <w:iCs/>
                <w:color w:val="000000"/>
                <w:kern w:val="0"/>
                <w:szCs w:val="21"/>
              </w:rPr>
              <w:t>□</w:t>
            </w:r>
            <w:r w:rsidRPr="00F52742">
              <w:rPr>
                <w:rFonts w:ascii="宋体" w:hAnsi="宋体" w:hint="eastAsia"/>
                <w:bCs/>
                <w:iCs/>
                <w:color w:val="000000"/>
                <w:kern w:val="0"/>
                <w:szCs w:val="21"/>
              </w:rPr>
              <w:t xml:space="preserve"> </w:t>
            </w:r>
            <w:r w:rsidRPr="00F52742">
              <w:rPr>
                <w:rFonts w:ascii="宋体" w:hAnsi="宋体"/>
                <w:kern w:val="0"/>
                <w:szCs w:val="21"/>
              </w:rPr>
              <w:t>其他 （</w:t>
            </w:r>
            <w:r w:rsidRPr="00F52742">
              <w:rPr>
                <w:rFonts w:ascii="宋体" w:hAnsi="宋体"/>
                <w:kern w:val="0"/>
                <w:szCs w:val="21"/>
                <w:u w:val="single"/>
              </w:rPr>
              <w:t>请文字说明其他活动内容）</w:t>
            </w:r>
          </w:p>
        </w:tc>
      </w:tr>
      <w:tr w:rsidR="005B0207" w14:paraId="0CBBF9AE" w14:textId="77777777" w:rsidTr="00A66D81">
        <w:trPr>
          <w:jc w:val="center"/>
        </w:trPr>
        <w:tc>
          <w:tcPr>
            <w:tcW w:w="1618" w:type="dxa"/>
            <w:tcBorders>
              <w:top w:val="single" w:sz="4" w:space="0" w:color="auto"/>
              <w:left w:val="single" w:sz="4" w:space="0" w:color="auto"/>
              <w:bottom w:val="single" w:sz="4" w:space="0" w:color="auto"/>
              <w:right w:val="single" w:sz="4" w:space="0" w:color="auto"/>
            </w:tcBorders>
            <w:vAlign w:val="center"/>
          </w:tcPr>
          <w:p w14:paraId="3A8F45C8" w14:textId="77777777" w:rsidR="005B0207" w:rsidRPr="00F52742" w:rsidRDefault="00000000">
            <w:pPr>
              <w:spacing w:line="420" w:lineRule="exact"/>
              <w:rPr>
                <w:rFonts w:ascii="宋体" w:hAnsi="宋体" w:hint="eastAsia"/>
                <w:bCs/>
                <w:iCs/>
                <w:color w:val="000000"/>
                <w:kern w:val="0"/>
                <w:szCs w:val="21"/>
              </w:rPr>
            </w:pPr>
            <w:r w:rsidRPr="00F52742">
              <w:rPr>
                <w:rFonts w:ascii="宋体" w:hAnsi="宋体"/>
                <w:bCs/>
                <w:iCs/>
                <w:color w:val="000000"/>
                <w:kern w:val="0"/>
                <w:szCs w:val="21"/>
              </w:rPr>
              <w:t>参与单位名称及人员姓名</w:t>
            </w:r>
          </w:p>
        </w:tc>
        <w:tc>
          <w:tcPr>
            <w:tcW w:w="7137" w:type="dxa"/>
            <w:tcBorders>
              <w:top w:val="single" w:sz="4" w:space="0" w:color="auto"/>
              <w:left w:val="single" w:sz="4" w:space="0" w:color="auto"/>
              <w:bottom w:val="single" w:sz="4" w:space="0" w:color="auto"/>
              <w:right w:val="single" w:sz="4" w:space="0" w:color="auto"/>
            </w:tcBorders>
            <w:vAlign w:val="center"/>
          </w:tcPr>
          <w:p w14:paraId="2574CBD2" w14:textId="77777777" w:rsidR="005B0207" w:rsidRPr="00F52742" w:rsidRDefault="00000000">
            <w:pPr>
              <w:spacing w:line="420" w:lineRule="exact"/>
              <w:rPr>
                <w:rFonts w:ascii="宋体" w:hAnsi="宋体" w:hint="eastAsia"/>
                <w:bCs/>
                <w:iCs/>
                <w:color w:val="000000"/>
                <w:szCs w:val="21"/>
                <w:lang w:val="en-GB"/>
              </w:rPr>
            </w:pPr>
            <w:r w:rsidRPr="00F52742">
              <w:rPr>
                <w:rFonts w:ascii="宋体" w:hAnsi="宋体" w:hint="eastAsia"/>
                <w:bCs/>
                <w:iCs/>
                <w:color w:val="000000"/>
                <w:szCs w:val="21"/>
                <w:lang w:val="en-GB"/>
              </w:rPr>
              <w:t>投资者网上提问</w:t>
            </w:r>
          </w:p>
        </w:tc>
      </w:tr>
      <w:tr w:rsidR="005B0207" w14:paraId="252049C8" w14:textId="77777777" w:rsidTr="00A66D81">
        <w:trPr>
          <w:jc w:val="center"/>
        </w:trPr>
        <w:tc>
          <w:tcPr>
            <w:tcW w:w="1618" w:type="dxa"/>
            <w:tcBorders>
              <w:top w:val="single" w:sz="4" w:space="0" w:color="auto"/>
              <w:left w:val="single" w:sz="4" w:space="0" w:color="auto"/>
              <w:bottom w:val="single" w:sz="4" w:space="0" w:color="auto"/>
              <w:right w:val="single" w:sz="4" w:space="0" w:color="auto"/>
            </w:tcBorders>
            <w:vAlign w:val="center"/>
          </w:tcPr>
          <w:p w14:paraId="22663924" w14:textId="77777777" w:rsidR="005B0207" w:rsidRPr="00F52742" w:rsidRDefault="00000000">
            <w:pPr>
              <w:spacing w:line="420" w:lineRule="exact"/>
              <w:rPr>
                <w:rFonts w:ascii="宋体" w:hAnsi="宋体" w:hint="eastAsia"/>
                <w:bCs/>
                <w:iCs/>
                <w:color w:val="000000"/>
                <w:kern w:val="0"/>
                <w:szCs w:val="21"/>
              </w:rPr>
            </w:pPr>
            <w:r w:rsidRPr="00F52742">
              <w:rPr>
                <w:rFonts w:ascii="宋体" w:hAnsi="宋体"/>
                <w:bCs/>
                <w:iCs/>
                <w:color w:val="000000"/>
                <w:kern w:val="0"/>
                <w:szCs w:val="21"/>
              </w:rPr>
              <w:t>时间</w:t>
            </w:r>
          </w:p>
        </w:tc>
        <w:tc>
          <w:tcPr>
            <w:tcW w:w="7137" w:type="dxa"/>
            <w:tcBorders>
              <w:top w:val="single" w:sz="4" w:space="0" w:color="auto"/>
              <w:left w:val="single" w:sz="4" w:space="0" w:color="auto"/>
              <w:bottom w:val="single" w:sz="4" w:space="0" w:color="auto"/>
              <w:right w:val="single" w:sz="4" w:space="0" w:color="auto"/>
            </w:tcBorders>
            <w:vAlign w:val="center"/>
          </w:tcPr>
          <w:p w14:paraId="46AAE502" w14:textId="77777777" w:rsidR="005B0207" w:rsidRPr="00F52742" w:rsidRDefault="00000000">
            <w:pPr>
              <w:spacing w:line="420" w:lineRule="exact"/>
              <w:rPr>
                <w:rFonts w:ascii="宋体" w:hAnsi="宋体" w:hint="eastAsia"/>
                <w:bCs/>
                <w:iCs/>
                <w:color w:val="000000"/>
                <w:szCs w:val="21"/>
              </w:rPr>
            </w:pPr>
            <w:r w:rsidRPr="00F52742">
              <w:rPr>
                <w:rFonts w:ascii="宋体" w:hAnsi="宋体"/>
                <w:bCs/>
                <w:iCs/>
                <w:color w:val="000000"/>
                <w:szCs w:val="21"/>
              </w:rPr>
              <w:t>2025年5月16日 (周五) 下午 16:00~17:00</w:t>
            </w:r>
          </w:p>
        </w:tc>
      </w:tr>
      <w:tr w:rsidR="005B0207" w14:paraId="6DE1941F" w14:textId="77777777" w:rsidTr="00A66D81">
        <w:trPr>
          <w:jc w:val="center"/>
        </w:trPr>
        <w:tc>
          <w:tcPr>
            <w:tcW w:w="1618" w:type="dxa"/>
            <w:tcBorders>
              <w:top w:val="single" w:sz="4" w:space="0" w:color="auto"/>
              <w:left w:val="single" w:sz="4" w:space="0" w:color="auto"/>
              <w:bottom w:val="single" w:sz="4" w:space="0" w:color="auto"/>
              <w:right w:val="single" w:sz="4" w:space="0" w:color="auto"/>
            </w:tcBorders>
            <w:vAlign w:val="center"/>
          </w:tcPr>
          <w:p w14:paraId="62BB3F24" w14:textId="77777777" w:rsidR="005B0207" w:rsidRPr="00F52742" w:rsidRDefault="00000000">
            <w:pPr>
              <w:spacing w:line="420" w:lineRule="exact"/>
              <w:rPr>
                <w:rFonts w:ascii="宋体" w:hAnsi="宋体" w:hint="eastAsia"/>
                <w:bCs/>
                <w:iCs/>
                <w:color w:val="000000"/>
                <w:kern w:val="0"/>
                <w:szCs w:val="21"/>
              </w:rPr>
            </w:pPr>
            <w:r w:rsidRPr="00F52742">
              <w:rPr>
                <w:rFonts w:ascii="宋体" w:hAnsi="宋体"/>
                <w:bCs/>
                <w:iCs/>
                <w:color w:val="000000"/>
                <w:kern w:val="0"/>
                <w:szCs w:val="21"/>
              </w:rPr>
              <w:t>地点</w:t>
            </w:r>
          </w:p>
        </w:tc>
        <w:tc>
          <w:tcPr>
            <w:tcW w:w="7137" w:type="dxa"/>
            <w:tcBorders>
              <w:top w:val="single" w:sz="4" w:space="0" w:color="auto"/>
              <w:left w:val="single" w:sz="4" w:space="0" w:color="auto"/>
              <w:bottom w:val="single" w:sz="4" w:space="0" w:color="auto"/>
              <w:right w:val="single" w:sz="4" w:space="0" w:color="auto"/>
            </w:tcBorders>
            <w:vAlign w:val="center"/>
          </w:tcPr>
          <w:p w14:paraId="44723ED7" w14:textId="77777777" w:rsidR="005B0207" w:rsidRPr="00F52742" w:rsidRDefault="00000000">
            <w:pPr>
              <w:spacing w:line="420" w:lineRule="exact"/>
              <w:rPr>
                <w:rFonts w:ascii="宋体" w:hAnsi="宋体" w:hint="eastAsia"/>
                <w:bCs/>
                <w:iCs/>
                <w:color w:val="000000"/>
                <w:szCs w:val="21"/>
              </w:rPr>
            </w:pPr>
            <w:r w:rsidRPr="00F52742">
              <w:rPr>
                <w:rFonts w:ascii="宋体" w:hAnsi="宋体"/>
                <w:szCs w:val="21"/>
              </w:rPr>
              <w:t>公司通过</w:t>
            </w:r>
            <w:r w:rsidRPr="00F52742">
              <w:rPr>
                <w:rFonts w:ascii="宋体" w:hAnsi="宋体" w:hint="eastAsia"/>
                <w:bCs/>
                <w:szCs w:val="21"/>
              </w:rPr>
              <w:t>全景网“</w:t>
            </w:r>
            <w:r w:rsidRPr="00F52742">
              <w:rPr>
                <w:rFonts w:ascii="宋体" w:hAnsi="宋体" w:cs="宋体"/>
                <w:szCs w:val="21"/>
              </w:rPr>
              <w:t>投资者关系互动平台</w:t>
            </w:r>
            <w:r w:rsidRPr="00F52742">
              <w:rPr>
                <w:rFonts w:ascii="宋体" w:hAnsi="宋体" w:hint="eastAsia"/>
                <w:bCs/>
                <w:szCs w:val="21"/>
              </w:rPr>
              <w:t>”（http</w:t>
            </w:r>
            <w:r w:rsidRPr="00F52742">
              <w:rPr>
                <w:rFonts w:ascii="宋体" w:hAnsi="宋体"/>
                <w:bCs/>
                <w:szCs w:val="21"/>
              </w:rPr>
              <w:t>s</w:t>
            </w:r>
            <w:r w:rsidRPr="00F52742">
              <w:rPr>
                <w:rFonts w:ascii="宋体" w:hAnsi="宋体" w:hint="eastAsia"/>
                <w:bCs/>
                <w:szCs w:val="21"/>
              </w:rPr>
              <w:t>://ir.p5w.net）采用网络远程的方式</w:t>
            </w:r>
            <w:r w:rsidRPr="00F52742">
              <w:rPr>
                <w:rFonts w:ascii="宋体" w:hAnsi="宋体"/>
                <w:szCs w:val="21"/>
              </w:rPr>
              <w:t>召开</w:t>
            </w:r>
            <w:r w:rsidRPr="00F52742">
              <w:rPr>
                <w:rFonts w:ascii="宋体" w:hAnsi="宋体" w:hint="eastAsia"/>
                <w:szCs w:val="21"/>
              </w:rPr>
              <w:t>业绩</w:t>
            </w:r>
            <w:r w:rsidRPr="00F52742">
              <w:rPr>
                <w:rFonts w:ascii="宋体" w:hAnsi="宋体"/>
                <w:szCs w:val="21"/>
              </w:rPr>
              <w:t>说明会</w:t>
            </w:r>
          </w:p>
        </w:tc>
      </w:tr>
      <w:tr w:rsidR="005B0207" w14:paraId="15A6CC51" w14:textId="77777777" w:rsidTr="00A66D81">
        <w:trPr>
          <w:jc w:val="center"/>
        </w:trPr>
        <w:tc>
          <w:tcPr>
            <w:tcW w:w="1618" w:type="dxa"/>
            <w:tcBorders>
              <w:top w:val="single" w:sz="4" w:space="0" w:color="auto"/>
              <w:left w:val="single" w:sz="4" w:space="0" w:color="auto"/>
              <w:bottom w:val="single" w:sz="4" w:space="0" w:color="auto"/>
              <w:right w:val="single" w:sz="4" w:space="0" w:color="auto"/>
            </w:tcBorders>
            <w:vAlign w:val="center"/>
          </w:tcPr>
          <w:p w14:paraId="01FC5730" w14:textId="77777777" w:rsidR="005B0207" w:rsidRPr="00F52742" w:rsidRDefault="00000000">
            <w:pPr>
              <w:spacing w:line="420" w:lineRule="exact"/>
              <w:rPr>
                <w:rFonts w:ascii="宋体" w:hAnsi="宋体" w:hint="eastAsia"/>
                <w:bCs/>
                <w:iCs/>
                <w:color w:val="000000"/>
                <w:kern w:val="0"/>
                <w:szCs w:val="21"/>
              </w:rPr>
            </w:pPr>
            <w:r w:rsidRPr="00F52742">
              <w:rPr>
                <w:rFonts w:ascii="宋体" w:hAnsi="宋体"/>
                <w:bCs/>
                <w:iCs/>
                <w:color w:val="000000"/>
                <w:kern w:val="0"/>
                <w:szCs w:val="21"/>
              </w:rPr>
              <w:t>上市公司接待人员姓名</w:t>
            </w:r>
          </w:p>
        </w:tc>
        <w:tc>
          <w:tcPr>
            <w:tcW w:w="7137" w:type="dxa"/>
            <w:tcBorders>
              <w:top w:val="single" w:sz="4" w:space="0" w:color="auto"/>
              <w:left w:val="single" w:sz="4" w:space="0" w:color="auto"/>
              <w:bottom w:val="single" w:sz="4" w:space="0" w:color="auto"/>
              <w:right w:val="single" w:sz="4" w:space="0" w:color="auto"/>
            </w:tcBorders>
            <w:vAlign w:val="center"/>
          </w:tcPr>
          <w:p w14:paraId="48A96B88" w14:textId="77777777" w:rsidR="005B0207" w:rsidRPr="00F52742" w:rsidRDefault="00000000">
            <w:pPr>
              <w:spacing w:line="420" w:lineRule="exact"/>
              <w:rPr>
                <w:rFonts w:ascii="宋体" w:hAnsi="宋体" w:hint="eastAsia"/>
                <w:bCs/>
                <w:szCs w:val="21"/>
              </w:rPr>
            </w:pPr>
            <w:r w:rsidRPr="00F52742">
              <w:rPr>
                <w:rFonts w:ascii="宋体" w:hAnsi="宋体"/>
                <w:bCs/>
                <w:szCs w:val="21"/>
              </w:rPr>
              <w:t>1、董事长、总经理蓝波</w:t>
            </w:r>
          </w:p>
          <w:p w14:paraId="268F28DC" w14:textId="77777777" w:rsidR="005B0207" w:rsidRPr="00F52742" w:rsidRDefault="00000000">
            <w:pPr>
              <w:spacing w:line="420" w:lineRule="exact"/>
              <w:rPr>
                <w:rFonts w:ascii="宋体" w:hAnsi="宋体" w:hint="eastAsia"/>
                <w:bCs/>
                <w:szCs w:val="21"/>
              </w:rPr>
            </w:pPr>
            <w:r w:rsidRPr="00F52742">
              <w:rPr>
                <w:rFonts w:ascii="宋体" w:hAnsi="宋体"/>
                <w:bCs/>
                <w:szCs w:val="21"/>
              </w:rPr>
              <w:t>2、副总经理、财务总监、董事会秘书李恒</w:t>
            </w:r>
          </w:p>
          <w:p w14:paraId="5D1F5257" w14:textId="77777777" w:rsidR="005B0207" w:rsidRPr="00F52742" w:rsidRDefault="00000000">
            <w:pPr>
              <w:spacing w:line="420" w:lineRule="exact"/>
              <w:rPr>
                <w:rFonts w:ascii="宋体" w:hAnsi="宋体" w:hint="eastAsia"/>
                <w:bCs/>
                <w:szCs w:val="21"/>
              </w:rPr>
            </w:pPr>
            <w:r w:rsidRPr="00F52742">
              <w:rPr>
                <w:rFonts w:ascii="宋体" w:hAnsi="宋体"/>
                <w:bCs/>
                <w:szCs w:val="21"/>
              </w:rPr>
              <w:t>3、全国证券事务代表李子波</w:t>
            </w:r>
          </w:p>
        </w:tc>
      </w:tr>
      <w:tr w:rsidR="005B0207" w14:paraId="2C629286" w14:textId="77777777" w:rsidTr="00A66D81">
        <w:trPr>
          <w:jc w:val="center"/>
        </w:trPr>
        <w:tc>
          <w:tcPr>
            <w:tcW w:w="1618" w:type="dxa"/>
            <w:tcBorders>
              <w:top w:val="single" w:sz="4" w:space="0" w:color="auto"/>
              <w:left w:val="single" w:sz="4" w:space="0" w:color="auto"/>
              <w:bottom w:val="single" w:sz="4" w:space="0" w:color="auto"/>
              <w:right w:val="single" w:sz="4" w:space="0" w:color="auto"/>
            </w:tcBorders>
            <w:vAlign w:val="center"/>
          </w:tcPr>
          <w:p w14:paraId="3AF90ACE" w14:textId="77777777" w:rsidR="005B0207" w:rsidRPr="00F52742" w:rsidRDefault="00000000">
            <w:pPr>
              <w:spacing w:line="420" w:lineRule="exact"/>
              <w:rPr>
                <w:rFonts w:ascii="宋体" w:hAnsi="宋体" w:hint="eastAsia"/>
                <w:bCs/>
                <w:iCs/>
                <w:color w:val="000000"/>
                <w:kern w:val="0"/>
                <w:szCs w:val="21"/>
              </w:rPr>
            </w:pPr>
            <w:r w:rsidRPr="00F52742">
              <w:rPr>
                <w:rFonts w:ascii="宋体" w:hAnsi="宋体"/>
                <w:bCs/>
                <w:iCs/>
                <w:color w:val="000000"/>
                <w:kern w:val="0"/>
                <w:szCs w:val="21"/>
              </w:rPr>
              <w:t>投资者关系活动主要内容介绍</w:t>
            </w:r>
          </w:p>
          <w:p w14:paraId="7F205055" w14:textId="77777777" w:rsidR="005B0207" w:rsidRPr="00F52742" w:rsidRDefault="005B0207">
            <w:pPr>
              <w:spacing w:line="420" w:lineRule="exact"/>
              <w:rPr>
                <w:rFonts w:ascii="宋体" w:hAnsi="宋体" w:hint="eastAsia"/>
                <w:bCs/>
                <w:iCs/>
                <w:color w:val="000000"/>
                <w:szCs w:val="21"/>
              </w:rPr>
            </w:pPr>
          </w:p>
        </w:tc>
        <w:tc>
          <w:tcPr>
            <w:tcW w:w="7137" w:type="dxa"/>
            <w:tcBorders>
              <w:top w:val="single" w:sz="4" w:space="0" w:color="auto"/>
              <w:left w:val="single" w:sz="4" w:space="0" w:color="auto"/>
              <w:bottom w:val="single" w:sz="4" w:space="0" w:color="auto"/>
              <w:right w:val="single" w:sz="4" w:space="0" w:color="auto"/>
            </w:tcBorders>
          </w:tcPr>
          <w:p w14:paraId="66C163C6" w14:textId="77777777" w:rsidR="00F52742" w:rsidRDefault="00000000" w:rsidP="00F52742">
            <w:pPr>
              <w:spacing w:line="360" w:lineRule="auto"/>
              <w:rPr>
                <w:rFonts w:ascii="宋体" w:hAnsi="宋体" w:hint="eastAsia"/>
                <w:b/>
                <w:szCs w:val="21"/>
              </w:rPr>
            </w:pPr>
            <w:r w:rsidRPr="00F52742">
              <w:rPr>
                <w:rFonts w:ascii="宋体" w:hAnsi="宋体"/>
                <w:b/>
                <w:szCs w:val="21"/>
              </w:rPr>
              <w:t>投资者提出的问题及公司回复情况</w:t>
            </w:r>
          </w:p>
          <w:p w14:paraId="1F4B62CC" w14:textId="1BB4161F" w:rsidR="005B0207" w:rsidRPr="00F52742" w:rsidRDefault="00000000" w:rsidP="00F52742">
            <w:pPr>
              <w:spacing w:line="360" w:lineRule="auto"/>
              <w:rPr>
                <w:rFonts w:ascii="宋体" w:hAnsi="宋体" w:hint="eastAsia"/>
                <w:b/>
                <w:szCs w:val="21"/>
              </w:rPr>
            </w:pPr>
            <w:r w:rsidRPr="00F52742">
              <w:rPr>
                <w:rFonts w:ascii="宋体" w:hAnsi="宋体" w:cs="宋体"/>
                <w:szCs w:val="21"/>
              </w:rPr>
              <w:t>公司就投资者在本次说明会中提出的问题进行了回复：</w:t>
            </w:r>
          </w:p>
          <w:p w14:paraId="2A19ED00" w14:textId="77777777" w:rsidR="005B0207" w:rsidRPr="00F52742" w:rsidRDefault="00000000" w:rsidP="00F52742">
            <w:pPr>
              <w:pStyle w:val="Style6"/>
              <w:spacing w:line="360" w:lineRule="auto"/>
              <w:ind w:firstLineChars="0" w:firstLine="0"/>
              <w:rPr>
                <w:rFonts w:ascii="宋体" w:hAnsi="宋体" w:hint="eastAsia"/>
                <w:b/>
                <w:szCs w:val="21"/>
              </w:rPr>
            </w:pPr>
            <w:r w:rsidRPr="00F52742">
              <w:rPr>
                <w:rFonts w:ascii="宋体" w:hAnsi="宋体"/>
                <w:b/>
                <w:szCs w:val="21"/>
              </w:rPr>
              <w:t>1、公司对社会责任方面有何建设，是否有相关计划呢</w:t>
            </w:r>
          </w:p>
          <w:p w14:paraId="097FEC1A" w14:textId="77777777" w:rsidR="009C7922" w:rsidRDefault="009C7922" w:rsidP="009C7922">
            <w:pPr>
              <w:pStyle w:val="Style6"/>
              <w:spacing w:line="360" w:lineRule="auto"/>
              <w:rPr>
                <w:rFonts w:ascii="宋体" w:hAnsi="宋体" w:hint="eastAsia"/>
                <w:szCs w:val="21"/>
              </w:rPr>
            </w:pPr>
            <w:r w:rsidRPr="00F52742">
              <w:rPr>
                <w:rFonts w:ascii="宋体" w:hAnsi="宋体"/>
                <w:szCs w:val="21"/>
              </w:rPr>
              <w:t>尊敬的投资者，您好！感谢您对公司的关注</w:t>
            </w:r>
            <w:r>
              <w:rPr>
                <w:rFonts w:ascii="宋体" w:hAnsi="宋体" w:hint="eastAsia"/>
                <w:szCs w:val="21"/>
              </w:rPr>
              <w:t>。</w:t>
            </w:r>
          </w:p>
          <w:p w14:paraId="77792D1B"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为更好实现各利益共同体的共赢发展，公司长期坚守对客户、员工、供应商、社会、股东的义务和责任，在解决就业、对外捐赠、乡村振兴、健康教育等方面积极发挥企业的作用。</w:t>
            </w:r>
          </w:p>
          <w:p w14:paraId="32F63D9E"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为社会提供近2.1万个就业岗位，特别是为女性员工和管理人员、建档立卡户、重点人群提供了良好的就业、培训、发展条件。</w:t>
            </w:r>
          </w:p>
          <w:p w14:paraId="79DB3CC0"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联合厂家开展等专项筛查、开展患教义诊、开展健康讲座、协办慈善活动，提升顾客对慢病管理的认知；为 400 多万慢病会员提供免费 “四高” 指标监控，助力健康管理；连续 21 年承办 “家庭小药箱清理” 活动，投入 600 余万元普及安全用药知识；此外公司通过云南光彩事业基金会捐赠</w:t>
            </w:r>
            <w:r w:rsidRPr="00F52742">
              <w:rPr>
                <w:rFonts w:ascii="宋体" w:hAnsi="宋体"/>
                <w:szCs w:val="21"/>
              </w:rPr>
              <w:lastRenderedPageBreak/>
              <w:t>四所儿童之家，连续举办 5 场 “健步走” 活动，将健康理念传递到千家万户。</w:t>
            </w:r>
          </w:p>
          <w:p w14:paraId="3FA5D804" w14:textId="34AA06FF" w:rsidR="005B0207" w:rsidRPr="00F52742" w:rsidRDefault="00000000" w:rsidP="00F52742">
            <w:pPr>
              <w:pStyle w:val="Style6"/>
              <w:spacing w:line="360" w:lineRule="auto"/>
              <w:rPr>
                <w:rFonts w:ascii="宋体" w:hAnsi="宋体" w:hint="eastAsia"/>
                <w:szCs w:val="21"/>
              </w:rPr>
            </w:pPr>
            <w:r w:rsidRPr="00F52742">
              <w:rPr>
                <w:rFonts w:ascii="宋体" w:hAnsi="宋体"/>
                <w:szCs w:val="21"/>
              </w:rPr>
              <w:t>后续公司将持续以更坚实的步伐推动企业高质量发展，为社会发展贡献更大力量。谢谢！</w:t>
            </w:r>
          </w:p>
          <w:p w14:paraId="585CE213" w14:textId="77777777" w:rsidR="005B0207" w:rsidRPr="00F52742" w:rsidRDefault="00000000" w:rsidP="00F52742">
            <w:pPr>
              <w:pStyle w:val="Style6"/>
              <w:spacing w:line="360" w:lineRule="auto"/>
              <w:ind w:firstLineChars="0" w:firstLine="0"/>
              <w:rPr>
                <w:rFonts w:ascii="宋体" w:hAnsi="宋体" w:hint="eastAsia"/>
                <w:b/>
                <w:szCs w:val="21"/>
              </w:rPr>
            </w:pPr>
            <w:r w:rsidRPr="00F52742">
              <w:rPr>
                <w:rFonts w:ascii="宋体" w:hAnsi="宋体"/>
                <w:b/>
                <w:szCs w:val="21"/>
              </w:rPr>
              <w:t>2、公司2024年通过并购区域连锁药店持续扩大市场份额。未来公司将如何平衡自建门店与并购策略的协同效应？在跨区域扩张中，如何解决不同地区的医保政策差异和本地化竞争挑战？</w:t>
            </w:r>
          </w:p>
          <w:p w14:paraId="56EE27F6" w14:textId="77777777" w:rsidR="009C7922" w:rsidRDefault="009C7922" w:rsidP="009C7922">
            <w:pPr>
              <w:pStyle w:val="Style6"/>
              <w:spacing w:line="360" w:lineRule="auto"/>
              <w:rPr>
                <w:rFonts w:ascii="宋体" w:hAnsi="宋体" w:hint="eastAsia"/>
                <w:szCs w:val="21"/>
              </w:rPr>
            </w:pPr>
            <w:r w:rsidRPr="00F52742">
              <w:rPr>
                <w:rFonts w:ascii="宋体" w:hAnsi="宋体"/>
                <w:szCs w:val="21"/>
              </w:rPr>
              <w:t>尊敬的投资者，您好！感谢您对公司的关注</w:t>
            </w:r>
            <w:r>
              <w:rPr>
                <w:rFonts w:ascii="宋体" w:hAnsi="宋体" w:hint="eastAsia"/>
                <w:szCs w:val="21"/>
              </w:rPr>
              <w:t>。</w:t>
            </w:r>
          </w:p>
          <w:p w14:paraId="36B489A1" w14:textId="77777777" w:rsidR="00F52742" w:rsidRDefault="00000000" w:rsidP="00F52742">
            <w:pPr>
              <w:pStyle w:val="Style6"/>
              <w:spacing w:line="360" w:lineRule="auto"/>
              <w:ind w:firstLineChars="0"/>
              <w:rPr>
                <w:rFonts w:ascii="宋体" w:hAnsi="宋体" w:hint="eastAsia"/>
                <w:szCs w:val="21"/>
              </w:rPr>
            </w:pPr>
            <w:r w:rsidRPr="00F52742">
              <w:rPr>
                <w:rFonts w:ascii="宋体" w:hAnsi="宋体"/>
                <w:szCs w:val="21"/>
              </w:rPr>
              <w:t>面对市场低迷以及行业政策不确定的影响，公司自2024年二季度公司迅速调整经营策略，放缓门店扩张速度，将主要精力聚焦于现有门店提质增效。2024年1-12月，公司自建门店314家，收购门店122家，因发展规划及经营策略调整关闭门店66家，净增门店370家。2025年，公司将结合市场和政策的实际情况，确定不同地区的拓展策略。</w:t>
            </w:r>
          </w:p>
          <w:p w14:paraId="39BFF16B" w14:textId="139D62C0" w:rsidR="00F52742" w:rsidRDefault="00000000" w:rsidP="00F52742">
            <w:pPr>
              <w:pStyle w:val="Style6"/>
              <w:spacing w:line="360" w:lineRule="auto"/>
              <w:ind w:firstLineChars="0"/>
              <w:rPr>
                <w:rFonts w:ascii="宋体" w:hAnsi="宋体" w:hint="eastAsia"/>
                <w:szCs w:val="21"/>
              </w:rPr>
            </w:pPr>
            <w:r w:rsidRPr="00F52742">
              <w:rPr>
                <w:rFonts w:ascii="宋体" w:hAnsi="宋体"/>
                <w:szCs w:val="21"/>
              </w:rPr>
              <w:t>公司所处的7个省区，政策落地、实施持续探索的进度略有差异，但总体而言，国家监管政策在公开、公平、严格、严谨等方面整体一致，尚未看到明确的医保差异需要公司制定差异化的竞争策略</w:t>
            </w:r>
            <w:r w:rsidR="00F52742">
              <w:rPr>
                <w:rFonts w:ascii="宋体" w:hAnsi="宋体" w:hint="eastAsia"/>
                <w:szCs w:val="21"/>
              </w:rPr>
              <w:t>。</w:t>
            </w:r>
          </w:p>
          <w:p w14:paraId="7E59DDD2" w14:textId="675818E5" w:rsidR="005B0207" w:rsidRPr="00F52742" w:rsidRDefault="00000000" w:rsidP="00F52742">
            <w:pPr>
              <w:pStyle w:val="Style6"/>
              <w:spacing w:line="360" w:lineRule="auto"/>
              <w:ind w:firstLineChars="0"/>
              <w:rPr>
                <w:rFonts w:ascii="宋体" w:hAnsi="宋体" w:hint="eastAsia"/>
                <w:szCs w:val="21"/>
              </w:rPr>
            </w:pPr>
            <w:r w:rsidRPr="00F52742">
              <w:rPr>
                <w:rFonts w:ascii="宋体" w:hAnsi="宋体"/>
                <w:szCs w:val="21"/>
              </w:rPr>
              <w:t>面对医保政策的监管，公司高度重视并积极配合，将合规运营放在首位；充分发挥公司在运营、商品、全渠道等方面的差异化优势应对竞争。谢谢！</w:t>
            </w:r>
          </w:p>
          <w:p w14:paraId="589FC935" w14:textId="77777777" w:rsidR="005B0207" w:rsidRPr="00F52742" w:rsidRDefault="00000000" w:rsidP="00F52742">
            <w:pPr>
              <w:pStyle w:val="Style6"/>
              <w:spacing w:line="360" w:lineRule="auto"/>
              <w:ind w:firstLineChars="0" w:firstLine="0"/>
              <w:rPr>
                <w:rFonts w:ascii="宋体" w:hAnsi="宋体" w:hint="eastAsia"/>
                <w:b/>
                <w:szCs w:val="21"/>
              </w:rPr>
            </w:pPr>
            <w:r w:rsidRPr="00F52742">
              <w:rPr>
                <w:rFonts w:ascii="宋体" w:hAnsi="宋体"/>
                <w:b/>
                <w:szCs w:val="21"/>
              </w:rPr>
              <w:t>3、互联网平台如京东、美团等分流线下客流，区域龙头如一心堂竞争激烈，公司毛利率承压。公司如何在竞争中提升市场份额和盈利能力。</w:t>
            </w:r>
          </w:p>
          <w:p w14:paraId="1FCB57A5" w14:textId="77777777" w:rsidR="009C7922" w:rsidRDefault="009C7922" w:rsidP="009C7922">
            <w:pPr>
              <w:pStyle w:val="Style6"/>
              <w:spacing w:line="360" w:lineRule="auto"/>
              <w:rPr>
                <w:rFonts w:ascii="宋体" w:hAnsi="宋体" w:hint="eastAsia"/>
                <w:szCs w:val="21"/>
              </w:rPr>
            </w:pPr>
            <w:r w:rsidRPr="00F52742">
              <w:rPr>
                <w:rFonts w:ascii="宋体" w:hAnsi="宋体"/>
                <w:szCs w:val="21"/>
              </w:rPr>
              <w:t>尊敬的投资者，您好！感谢您对公司的关注</w:t>
            </w:r>
            <w:r>
              <w:rPr>
                <w:rFonts w:ascii="宋体" w:hAnsi="宋体" w:hint="eastAsia"/>
                <w:szCs w:val="21"/>
              </w:rPr>
              <w:t>。</w:t>
            </w:r>
          </w:p>
          <w:p w14:paraId="657EF64C"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面对医药、医保改革持续探索、深入，行业及公司转型明确趋势，公司将危机转化为降低医保依赖，向健康品类及专业化服务、全渠道营销深入转型的契机，在提升合规运营水平的基础上，推动业务加快转型调整，从“满足顾客需求”向“激发顾客需求”转型，应对毛利率下降、市场竞争激烈的风险。</w:t>
            </w:r>
          </w:p>
          <w:p w14:paraId="1C1AC24D"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作为依托实体门店服务网络、提供线上线下全渠道专业服务的企业，第三方平台并不分流公司业务，而是提供数据服务及配送服务的基础服务平台，系公司的合作伙伴，帮助实体门店通过快递、同城物流服务更多顾客，</w:t>
            </w:r>
            <w:r w:rsidRPr="00F52742">
              <w:rPr>
                <w:rFonts w:ascii="宋体" w:hAnsi="宋体"/>
                <w:szCs w:val="21"/>
              </w:rPr>
              <w:lastRenderedPageBreak/>
              <w:t>获取更多线上服务营运能力有限的竞争对手市场份额，与公司的合作远大于竞争。</w:t>
            </w:r>
          </w:p>
          <w:p w14:paraId="0CB0DDC0"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公司长期坚持采取差异化的商品、专业服务、品牌等定位与同业上市公司形成差异化的竞争格局、优势，通过营运力、商品力、专业力、品牌力、规模力核心竞争力的塑造共同推动行业进步。</w:t>
            </w:r>
          </w:p>
          <w:p w14:paraId="107E1119"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面对医药零售行业转型升级的关键机遇，公司围绕顾客对全生命周期、高品质健康生活的需求，在强化原有专业化服务模式的基础上，打造包括健康相关品类在内的消费化零售模式，加强实体门店传统零售的自我迭代，同时积极拥抱渠道多元共存的局面，在原有存量市场中持续提升市场竞争力，积极满足顾客潜在需求，拓展增量市场。</w:t>
            </w:r>
          </w:p>
          <w:p w14:paraId="04F6E347" w14:textId="6EF03715" w:rsidR="005B0207" w:rsidRPr="00F52742" w:rsidRDefault="00000000" w:rsidP="00F52742">
            <w:pPr>
              <w:pStyle w:val="Style6"/>
              <w:spacing w:line="360" w:lineRule="auto"/>
              <w:rPr>
                <w:rFonts w:ascii="宋体" w:hAnsi="宋体" w:hint="eastAsia"/>
                <w:szCs w:val="21"/>
              </w:rPr>
            </w:pPr>
            <w:r w:rsidRPr="00F52742">
              <w:rPr>
                <w:rFonts w:ascii="宋体" w:hAnsi="宋体"/>
                <w:szCs w:val="21"/>
              </w:rPr>
              <w:t>强化公司营采一体化的品类规划管理及服务为核心的营销体系，为医药工业企业在院外市场日渐重要的专业推广、商品营销持续提供专业服务，提升公司长期重视的供应商服务效能和差异化专业服务能力，拉动业绩的增长。谢谢！</w:t>
            </w:r>
          </w:p>
          <w:p w14:paraId="0E79D949" w14:textId="77777777" w:rsidR="005B0207" w:rsidRPr="00F52742" w:rsidRDefault="00000000" w:rsidP="00F52742">
            <w:pPr>
              <w:pStyle w:val="Style6"/>
              <w:spacing w:line="360" w:lineRule="auto"/>
              <w:ind w:firstLineChars="0" w:firstLine="0"/>
              <w:rPr>
                <w:rFonts w:ascii="宋体" w:hAnsi="宋体" w:hint="eastAsia"/>
                <w:b/>
                <w:szCs w:val="21"/>
              </w:rPr>
            </w:pPr>
            <w:r w:rsidRPr="00F52742">
              <w:rPr>
                <w:rFonts w:ascii="宋体" w:hAnsi="宋体"/>
                <w:b/>
                <w:szCs w:val="21"/>
              </w:rPr>
              <w:t>4、医保控费、集采降价等政策可能影响公司利润，公司如何应对政策变化，把握政策红利，降低政策风险</w:t>
            </w:r>
          </w:p>
          <w:p w14:paraId="51EA2CF3" w14:textId="77777777" w:rsidR="009C7922" w:rsidRDefault="009C7922" w:rsidP="009C7922">
            <w:pPr>
              <w:pStyle w:val="Style6"/>
              <w:spacing w:line="360" w:lineRule="auto"/>
              <w:rPr>
                <w:rFonts w:ascii="宋体" w:hAnsi="宋体" w:hint="eastAsia"/>
                <w:szCs w:val="21"/>
              </w:rPr>
            </w:pPr>
            <w:r w:rsidRPr="00F52742">
              <w:rPr>
                <w:rFonts w:ascii="宋体" w:hAnsi="宋体"/>
                <w:szCs w:val="21"/>
              </w:rPr>
              <w:t>尊敬的投资者，您好！感谢您对公司的关注</w:t>
            </w:r>
            <w:r>
              <w:rPr>
                <w:rFonts w:ascii="宋体" w:hAnsi="宋体" w:hint="eastAsia"/>
                <w:szCs w:val="21"/>
              </w:rPr>
              <w:t>。</w:t>
            </w:r>
          </w:p>
          <w:p w14:paraId="4AC0BB5D"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面对行业短期压力和中长期转型挑战，公司保持谨慎、积极的态度，以坚持强化自身核心能力，审慎应对风险、持续微调经营策略应对外部变化。</w:t>
            </w:r>
          </w:p>
          <w:p w14:paraId="4391EE2B"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针对以下行业政策风险：</w:t>
            </w:r>
          </w:p>
          <w:p w14:paraId="7DCDB5D2"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随着医药改革的不断深化，一系列措施稳步推进且步入常态化，改革是涉及医疗体系、医保体系、医药体系等多个领域的系统性、长期性改革，改革内容复杂、涉及面广、执行过程中需应对各种复杂情况，政策在落实过程中存在根据实际情况调整的可能性，相关政策存在一定的不确定性。</w:t>
            </w:r>
            <w:r w:rsidRPr="00F52742">
              <w:rPr>
                <w:rFonts w:ascii="宋体" w:hAnsi="宋体"/>
                <w:szCs w:val="21"/>
              </w:rPr>
              <w:br/>
              <w:t>随着医保个账改革、门诊统筹、打击骗保专项整治、价格专项治理、线上医保结算、药品追溯码等政策的发布和实施，行业政策调整持续，监管力度加强、合规要求提升，若公司未能及时根据政策要求进行内部管控的提升改进、业务模式的调整创新，可能给公司经营带来风险。</w:t>
            </w:r>
          </w:p>
          <w:p w14:paraId="73918BB9" w14:textId="44B14325" w:rsidR="005B0207" w:rsidRPr="00F52742" w:rsidRDefault="00000000" w:rsidP="00F52742">
            <w:pPr>
              <w:pStyle w:val="Style6"/>
              <w:spacing w:line="360" w:lineRule="auto"/>
              <w:rPr>
                <w:rFonts w:ascii="宋体" w:hAnsi="宋体" w:hint="eastAsia"/>
                <w:szCs w:val="21"/>
              </w:rPr>
            </w:pPr>
            <w:r w:rsidRPr="00F52742">
              <w:rPr>
                <w:rFonts w:ascii="宋体" w:hAnsi="宋体"/>
                <w:szCs w:val="21"/>
              </w:rPr>
              <w:t>应对措施：公司严格遵守法律法规，密切关注国家政策，加强对行业法</w:t>
            </w:r>
            <w:r w:rsidRPr="00F52742">
              <w:rPr>
                <w:rFonts w:ascii="宋体" w:hAnsi="宋体"/>
                <w:szCs w:val="21"/>
              </w:rPr>
              <w:lastRenderedPageBreak/>
              <w:t>律法规和政策规范的把握和理解、遵循，通过提升内部合规管理规范，积极应对行业政策变化带来的机遇和挑战，同时，积极与医保等部门沟通协调，争取政策落地，规范服务门诊统筹患者。围绕顾客“预防和健康管理”的实际需求，继续重视发挥医疗器械、保健品、中药材、个人护理品、生活便利品等非药产品的规划和引进、推广，以更专业的解决方案服务顾客。谢谢！</w:t>
            </w:r>
          </w:p>
          <w:p w14:paraId="31AA3FFA" w14:textId="77777777" w:rsidR="005B0207" w:rsidRPr="00F52742" w:rsidRDefault="00000000" w:rsidP="00F52742">
            <w:pPr>
              <w:pStyle w:val="Style6"/>
              <w:spacing w:line="360" w:lineRule="auto"/>
              <w:ind w:firstLineChars="0" w:firstLine="0"/>
              <w:rPr>
                <w:rFonts w:ascii="宋体" w:hAnsi="宋体" w:hint="eastAsia"/>
                <w:b/>
                <w:szCs w:val="21"/>
              </w:rPr>
            </w:pPr>
            <w:r w:rsidRPr="00F52742">
              <w:rPr>
                <w:rFonts w:ascii="宋体" w:hAnsi="宋体"/>
                <w:b/>
                <w:szCs w:val="21"/>
              </w:rPr>
              <w:t>5、请问库存周转天数是多少？</w:t>
            </w:r>
          </w:p>
          <w:p w14:paraId="5C615875"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尊敬的投资者，您好！感谢您对公司的关注</w:t>
            </w:r>
            <w:r w:rsidR="00F52742">
              <w:rPr>
                <w:rFonts w:ascii="宋体" w:hAnsi="宋体" w:hint="eastAsia"/>
                <w:szCs w:val="21"/>
              </w:rPr>
              <w:t>。</w:t>
            </w:r>
          </w:p>
          <w:p w14:paraId="6B6538C1" w14:textId="09FE06A4" w:rsidR="005B0207" w:rsidRPr="00F52742" w:rsidRDefault="00000000" w:rsidP="00F52742">
            <w:pPr>
              <w:pStyle w:val="Style6"/>
              <w:spacing w:line="360" w:lineRule="auto"/>
              <w:rPr>
                <w:rFonts w:ascii="宋体" w:hAnsi="宋体" w:hint="eastAsia"/>
                <w:szCs w:val="21"/>
              </w:rPr>
            </w:pPr>
            <w:r w:rsidRPr="00F52742">
              <w:rPr>
                <w:rFonts w:ascii="宋体" w:hAnsi="宋体"/>
                <w:szCs w:val="21"/>
              </w:rPr>
              <w:t>2024年市场及行业竞争加剧；医药分业改革探索期，政策不断探索、调整、完善，对行业影响深入、叠加，对顾客行为、监管方、医药零售从业者的影响不稳定，医药健康消费受抑制等影响，公司2024年度，公司营业收入增长同步增长放缓，存货较年初余额增加7.54亿元，增幅31.78%，主要系培育期新店、次新店及并购整合期门店占比高，此类门店存货周转速度慢，以及春节较早、年末提前备货导致大库及门店存货储备增长，存货年周转次数为2.08次，同比下降0.49次。谢谢！</w:t>
            </w:r>
          </w:p>
          <w:p w14:paraId="253F2346" w14:textId="77777777" w:rsidR="005B0207" w:rsidRPr="00F52742" w:rsidRDefault="00000000" w:rsidP="00F52742">
            <w:pPr>
              <w:pStyle w:val="Style6"/>
              <w:spacing w:line="360" w:lineRule="auto"/>
              <w:ind w:firstLineChars="0" w:firstLine="0"/>
              <w:rPr>
                <w:rFonts w:ascii="宋体" w:hAnsi="宋体" w:hint="eastAsia"/>
                <w:b/>
                <w:szCs w:val="21"/>
              </w:rPr>
            </w:pPr>
            <w:r w:rsidRPr="00F52742">
              <w:rPr>
                <w:rFonts w:ascii="宋体" w:hAnsi="宋体"/>
                <w:b/>
                <w:szCs w:val="21"/>
              </w:rPr>
              <w:t>6、蓝董事长，你好，请问贵司对于同一种药品，线上零售价格和线下门店零售价格是否有差异？如有差异，价格浮动幅度大概是？</w:t>
            </w:r>
          </w:p>
          <w:p w14:paraId="4C78D0AC" w14:textId="77777777" w:rsidR="009C7922" w:rsidRDefault="009C7922" w:rsidP="009C7922">
            <w:pPr>
              <w:pStyle w:val="Style6"/>
              <w:spacing w:line="360" w:lineRule="auto"/>
              <w:rPr>
                <w:rFonts w:ascii="宋体" w:hAnsi="宋体" w:hint="eastAsia"/>
                <w:szCs w:val="21"/>
              </w:rPr>
            </w:pPr>
            <w:r w:rsidRPr="00F52742">
              <w:rPr>
                <w:rFonts w:ascii="宋体" w:hAnsi="宋体"/>
                <w:szCs w:val="21"/>
              </w:rPr>
              <w:t>尊敬的投资者，您好！感谢您对公司的关注</w:t>
            </w:r>
            <w:r>
              <w:rPr>
                <w:rFonts w:ascii="宋体" w:hAnsi="宋体" w:hint="eastAsia"/>
                <w:szCs w:val="21"/>
              </w:rPr>
              <w:t>。</w:t>
            </w:r>
          </w:p>
          <w:p w14:paraId="148ECFDE" w14:textId="77777777" w:rsidR="00F52742" w:rsidRDefault="00F52742" w:rsidP="00F52742">
            <w:pPr>
              <w:pStyle w:val="Style6"/>
              <w:spacing w:line="360" w:lineRule="auto"/>
              <w:rPr>
                <w:rFonts w:ascii="宋体" w:hAnsi="宋体" w:hint="eastAsia"/>
                <w:szCs w:val="21"/>
              </w:rPr>
            </w:pPr>
            <w:r>
              <w:rPr>
                <w:rFonts w:ascii="宋体" w:hAnsi="宋体" w:hint="eastAsia"/>
                <w:szCs w:val="21"/>
              </w:rPr>
              <w:t>公司</w:t>
            </w:r>
            <w:r w:rsidRPr="00F52742">
              <w:rPr>
                <w:rFonts w:ascii="宋体" w:hAnsi="宋体"/>
                <w:szCs w:val="21"/>
              </w:rPr>
              <w:t>在合规的基础上，除按法律法规、国家监管规范定价有限制的药品外，医药零售市场按顾客不同消费场景、竞争情况、服务要求、成本、时效等满足顾客多层次、差异化的需求，形成相应的、不同的市场定价。</w:t>
            </w:r>
            <w:r w:rsidRPr="00F52742">
              <w:rPr>
                <w:rFonts w:ascii="宋体" w:hAnsi="宋体"/>
                <w:szCs w:val="21"/>
              </w:rPr>
              <w:br/>
              <w:t>公司积极通过实体门店和线上平台构建的全渠道服务网络，主动满足顾客泛在性的用药、健康服务需求。</w:t>
            </w:r>
          </w:p>
          <w:p w14:paraId="6019536E" w14:textId="45C9376A" w:rsidR="005B0207" w:rsidRPr="00F52742" w:rsidRDefault="00000000" w:rsidP="00F52742">
            <w:pPr>
              <w:pStyle w:val="Style6"/>
              <w:spacing w:line="360" w:lineRule="auto"/>
              <w:rPr>
                <w:rFonts w:ascii="宋体" w:hAnsi="宋体" w:hint="eastAsia"/>
                <w:szCs w:val="21"/>
              </w:rPr>
            </w:pPr>
            <w:r w:rsidRPr="00F52742">
              <w:rPr>
                <w:rFonts w:ascii="宋体" w:hAnsi="宋体"/>
                <w:szCs w:val="21"/>
              </w:rPr>
              <w:t>因面对的消费场景、竞争环境、运营成本不同，公司采取合规、公允、市场化、差异化的竞价策略，保障公司提供的商品、服务具备市场竞争力。谢谢！</w:t>
            </w:r>
            <w:r w:rsidRPr="00F52742">
              <w:rPr>
                <w:rFonts w:ascii="宋体" w:hAnsi="宋体"/>
                <w:szCs w:val="21"/>
              </w:rPr>
              <w:br/>
            </w:r>
            <w:r w:rsidRPr="00F52742">
              <w:rPr>
                <w:rFonts w:ascii="宋体" w:hAnsi="宋体"/>
                <w:b/>
                <w:szCs w:val="21"/>
              </w:rPr>
              <w:t>7、年报中提到公司毛利率同比提升但销售费用率居高不下，主要系新店培育和数字化投入。管理层是否考虑通过供应链优化或私域流量运营来进一步改善利润率？未来3年净利润率的目标区间是多少？</w:t>
            </w:r>
          </w:p>
          <w:p w14:paraId="4856F5A3" w14:textId="77777777" w:rsidR="009C7922" w:rsidRDefault="009C7922" w:rsidP="009C7922">
            <w:pPr>
              <w:pStyle w:val="Style6"/>
              <w:spacing w:line="360" w:lineRule="auto"/>
              <w:rPr>
                <w:rFonts w:ascii="宋体" w:hAnsi="宋体" w:hint="eastAsia"/>
                <w:szCs w:val="21"/>
              </w:rPr>
            </w:pPr>
            <w:r w:rsidRPr="00F52742">
              <w:rPr>
                <w:rFonts w:ascii="宋体" w:hAnsi="宋体"/>
                <w:szCs w:val="21"/>
              </w:rPr>
              <w:t>尊敬的投资者，您好！感谢您对公司的关注</w:t>
            </w:r>
            <w:r>
              <w:rPr>
                <w:rFonts w:ascii="宋体" w:hAnsi="宋体" w:hint="eastAsia"/>
                <w:szCs w:val="21"/>
              </w:rPr>
              <w:t>。</w:t>
            </w:r>
          </w:p>
          <w:p w14:paraId="050F747C"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lastRenderedPageBreak/>
              <w:t>面对医药、医保改革持续探索、深入，行业及公司转型明确趋势，公司将危机转化为降低医保依赖，向健康品类及专业化服务、全渠道营销深入转型的契机，在提升合规运营水平的基础上，推动业务加快转型调整，在您关注的以下两方面：</w:t>
            </w:r>
          </w:p>
          <w:p w14:paraId="306D57B4"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1、在供应链优化方面，公司明确自身定位，坚定中西成药核心业务不动摇，同时深入挖掘目标顾客除严肃医疗之外慢病和常见病治疗、预防和健康管理类产品及服务需求，主动从“依赖医保”销售、药品价格竞争模式向长期坚持强化专业药学服务、健康管理服务、差异化商品品类管理能力转型，从“满足顾客需求”向“激发顾客需求”转型。</w:t>
            </w:r>
          </w:p>
          <w:p w14:paraId="7E226157"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2、公司通过自营平台O2O、跨境购业务推进依托门店的全渠道服务：</w:t>
            </w:r>
          </w:p>
          <w:p w14:paraId="68DA404F"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1）公司门店自营可在线预订、到店自提或送货到家的O2O系统佳E购，通过加强专科长疗程用药解决方案、差异化主题营销活动规划和支持为顾客提供专业、长尾的商品品类。同时，在合规基础上及时响应和满足远程问诊、处方流转、自有及第三方平台远程审方、执业药师药学服务等顾客需求。</w:t>
            </w:r>
          </w:p>
          <w:p w14:paraId="32A3E715"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（2）微商城系统升级和改版，推出“健之佳急送”业务，依托第三方同城物流企业，提供及时的在线预订、送货上门便捷服务。</w:t>
            </w:r>
          </w:p>
          <w:p w14:paraId="1369D342" w14:textId="77777777" w:rsidR="00F52742" w:rsidRDefault="00000000" w:rsidP="00F52742">
            <w:pPr>
              <w:pStyle w:val="Style6"/>
              <w:spacing w:line="360" w:lineRule="auto"/>
              <w:rPr>
                <w:rFonts w:ascii="宋体" w:hAnsi="宋体" w:hint="eastAsia"/>
                <w:szCs w:val="21"/>
              </w:rPr>
            </w:pPr>
            <w:r w:rsidRPr="00F52742">
              <w:rPr>
                <w:rFonts w:ascii="宋体" w:hAnsi="宋体"/>
                <w:szCs w:val="21"/>
              </w:rPr>
              <w:t>（3）积极探索直播模式，优化直播+微商城购物体验，以极致性价比的产品供应链管理优势、专业的直播内容、丰富的直播形式吸引和服务消费者，尝试包含个护、保健食品、养生中药、生活便利品等多品类融合型直播，凸显健之佳“大众药品+时尚健康品”的商品定位，获得较好的效果和反馈。</w:t>
            </w:r>
          </w:p>
          <w:p w14:paraId="0916024A" w14:textId="19BCBD25" w:rsidR="00FE2FA0" w:rsidRPr="00F52742" w:rsidRDefault="00000000" w:rsidP="00FE2FA0">
            <w:pPr>
              <w:pStyle w:val="Style6"/>
              <w:spacing w:line="360" w:lineRule="auto"/>
              <w:rPr>
                <w:rFonts w:ascii="宋体" w:hAnsi="宋体" w:hint="eastAsia"/>
                <w:szCs w:val="21"/>
              </w:rPr>
            </w:pPr>
            <w:r w:rsidRPr="00F52742">
              <w:rPr>
                <w:rFonts w:ascii="宋体" w:hAnsi="宋体"/>
                <w:szCs w:val="21"/>
              </w:rPr>
              <w:t>（4）跨境购业务：</w:t>
            </w:r>
            <w:r w:rsidRPr="00F52742">
              <w:rPr>
                <w:rFonts w:ascii="宋体" w:hAnsi="宋体"/>
                <w:szCs w:val="21"/>
              </w:rPr>
              <w:br/>
              <w:t>通过自营平台拓展、运营跨境购业务，进一步拓宽保健食品、个人护理品、母婴用品等高品质商品线，挖掘会员需求。</w:t>
            </w:r>
            <w:r w:rsidRPr="00F52742">
              <w:rPr>
                <w:rFonts w:ascii="宋体" w:hAnsi="宋体"/>
                <w:szCs w:val="21"/>
              </w:rPr>
              <w:br/>
              <w:t>以上工作有利于公司推动业务加快转型，从“满足顾客需求”向“激发顾客需求”转型，应对毛利率和净利率下降风险。</w:t>
            </w:r>
            <w:r w:rsidR="00FE2FA0">
              <w:rPr>
                <w:rFonts w:ascii="宋体" w:hAnsi="宋体" w:hint="eastAsia"/>
                <w:szCs w:val="21"/>
              </w:rPr>
              <w:t>谢谢！</w:t>
            </w:r>
          </w:p>
        </w:tc>
      </w:tr>
      <w:tr w:rsidR="005B0207" w14:paraId="02ACE7B9" w14:textId="77777777" w:rsidTr="00A66D81">
        <w:trPr>
          <w:jc w:val="center"/>
        </w:trPr>
        <w:tc>
          <w:tcPr>
            <w:tcW w:w="1618" w:type="dxa"/>
            <w:tcBorders>
              <w:top w:val="single" w:sz="4" w:space="0" w:color="auto"/>
              <w:left w:val="single" w:sz="4" w:space="0" w:color="auto"/>
              <w:bottom w:val="single" w:sz="4" w:space="0" w:color="auto"/>
              <w:right w:val="single" w:sz="4" w:space="0" w:color="auto"/>
            </w:tcBorders>
            <w:vAlign w:val="center"/>
          </w:tcPr>
          <w:p w14:paraId="5C9BD6A6" w14:textId="77777777" w:rsidR="005B0207" w:rsidRPr="00F52742" w:rsidRDefault="00000000">
            <w:pPr>
              <w:spacing w:line="420" w:lineRule="exact"/>
              <w:rPr>
                <w:bCs/>
                <w:iCs/>
                <w:color w:val="000000"/>
                <w:kern w:val="0"/>
                <w:szCs w:val="21"/>
              </w:rPr>
            </w:pPr>
            <w:r w:rsidRPr="00F52742">
              <w:rPr>
                <w:rFonts w:hAnsi="宋体"/>
                <w:bCs/>
                <w:iCs/>
                <w:color w:val="000000"/>
                <w:kern w:val="0"/>
                <w:szCs w:val="21"/>
              </w:rPr>
              <w:lastRenderedPageBreak/>
              <w:t>附件清单（如有）</w:t>
            </w:r>
          </w:p>
        </w:tc>
        <w:tc>
          <w:tcPr>
            <w:tcW w:w="7137" w:type="dxa"/>
            <w:tcBorders>
              <w:top w:val="single" w:sz="4" w:space="0" w:color="auto"/>
              <w:left w:val="single" w:sz="4" w:space="0" w:color="auto"/>
              <w:bottom w:val="single" w:sz="4" w:space="0" w:color="auto"/>
              <w:right w:val="single" w:sz="4" w:space="0" w:color="auto"/>
            </w:tcBorders>
          </w:tcPr>
          <w:p w14:paraId="61869271" w14:textId="77777777" w:rsidR="005B0207" w:rsidRPr="00F52742" w:rsidRDefault="005B0207">
            <w:pPr>
              <w:spacing w:line="420" w:lineRule="exact"/>
              <w:rPr>
                <w:bCs/>
                <w:iCs/>
                <w:color w:val="000000"/>
                <w:szCs w:val="21"/>
              </w:rPr>
            </w:pPr>
          </w:p>
        </w:tc>
      </w:tr>
      <w:tr w:rsidR="00640560" w14:paraId="757D92E9" w14:textId="77777777" w:rsidTr="00A66D81">
        <w:trPr>
          <w:jc w:val="center"/>
        </w:trPr>
        <w:tc>
          <w:tcPr>
            <w:tcW w:w="1618" w:type="dxa"/>
            <w:tcBorders>
              <w:top w:val="single" w:sz="4" w:space="0" w:color="auto"/>
              <w:left w:val="single" w:sz="4" w:space="0" w:color="auto"/>
              <w:bottom w:val="single" w:sz="4" w:space="0" w:color="auto"/>
              <w:right w:val="single" w:sz="4" w:space="0" w:color="auto"/>
            </w:tcBorders>
            <w:vAlign w:val="center"/>
          </w:tcPr>
          <w:p w14:paraId="5D6A688B" w14:textId="1DB77AAF" w:rsidR="00640560" w:rsidRPr="00F52742" w:rsidRDefault="00640560" w:rsidP="00640560">
            <w:pPr>
              <w:spacing w:line="420" w:lineRule="exact"/>
              <w:rPr>
                <w:rFonts w:hAnsi="宋体"/>
                <w:bCs/>
                <w:iCs/>
                <w:color w:val="000000"/>
                <w:kern w:val="0"/>
                <w:szCs w:val="21"/>
              </w:rPr>
            </w:pPr>
            <w:r>
              <w:rPr>
                <w:rFonts w:hAnsi="宋体"/>
                <w:bCs/>
                <w:iCs/>
                <w:color w:val="000000"/>
                <w:kern w:val="0"/>
                <w:sz w:val="24"/>
              </w:rPr>
              <w:t>日期</w:t>
            </w:r>
          </w:p>
        </w:tc>
        <w:tc>
          <w:tcPr>
            <w:tcW w:w="7137" w:type="dxa"/>
            <w:tcBorders>
              <w:top w:val="single" w:sz="4" w:space="0" w:color="auto"/>
              <w:left w:val="single" w:sz="4" w:space="0" w:color="auto"/>
              <w:bottom w:val="single" w:sz="4" w:space="0" w:color="auto"/>
              <w:right w:val="single" w:sz="4" w:space="0" w:color="auto"/>
            </w:tcBorders>
          </w:tcPr>
          <w:p w14:paraId="56397656" w14:textId="1B47B3DB" w:rsidR="00640560" w:rsidRPr="00F52742" w:rsidRDefault="00640560" w:rsidP="00640560">
            <w:pPr>
              <w:spacing w:line="420" w:lineRule="exact"/>
              <w:rPr>
                <w:bCs/>
                <w:iCs/>
                <w:color w:val="000000"/>
                <w:szCs w:val="21"/>
              </w:rPr>
            </w:pPr>
            <w:r>
              <w:rPr>
                <w:bCs/>
                <w:iCs/>
                <w:color w:val="000000"/>
                <w:sz w:val="24"/>
              </w:rPr>
              <w:t>2025-05-16</w:t>
            </w:r>
          </w:p>
        </w:tc>
      </w:tr>
    </w:tbl>
    <w:p w14:paraId="3CE28FB7" w14:textId="77777777" w:rsidR="005B0207" w:rsidRDefault="005B0207"/>
    <w:sectPr w:rsidR="005B0207">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B725" w14:textId="77777777" w:rsidR="00840AFC" w:rsidRDefault="00840AFC">
      <w:r>
        <w:separator/>
      </w:r>
    </w:p>
  </w:endnote>
  <w:endnote w:type="continuationSeparator" w:id="0">
    <w:p w14:paraId="5EDCEF78" w14:textId="77777777" w:rsidR="00840AFC" w:rsidRDefault="0084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92137"/>
      <w:docPartObj>
        <w:docPartGallery w:val="Page Numbers (Bottom of Page)"/>
        <w:docPartUnique/>
      </w:docPartObj>
    </w:sdtPr>
    <w:sdtContent>
      <w:sdt>
        <w:sdtPr>
          <w:id w:val="1728636285"/>
          <w:docPartObj>
            <w:docPartGallery w:val="Page Numbers (Top of Page)"/>
            <w:docPartUnique/>
          </w:docPartObj>
        </w:sdtPr>
        <w:sdtContent>
          <w:p w14:paraId="51C96341" w14:textId="0E858EBB" w:rsidR="00A66D81" w:rsidRDefault="00A66D8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C6EC4B0" w14:textId="4DB8AC22" w:rsidR="005B0207" w:rsidRDefault="005B0207">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7B8D" w14:textId="77777777" w:rsidR="00840AFC" w:rsidRDefault="00840AFC">
      <w:r>
        <w:separator/>
      </w:r>
    </w:p>
  </w:footnote>
  <w:footnote w:type="continuationSeparator" w:id="0">
    <w:p w14:paraId="33D6C69F" w14:textId="77777777" w:rsidR="00840AFC" w:rsidRDefault="0084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FA1F" w14:textId="49ADB75B" w:rsidR="005B0207" w:rsidRDefault="005B0207">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27B0"/>
    <w:rsid w:val="003030BF"/>
    <w:rsid w:val="00304F89"/>
    <w:rsid w:val="00306023"/>
    <w:rsid w:val="00327D5D"/>
    <w:rsid w:val="00344914"/>
    <w:rsid w:val="00346917"/>
    <w:rsid w:val="00354A7B"/>
    <w:rsid w:val="00360FDA"/>
    <w:rsid w:val="00363075"/>
    <w:rsid w:val="00367D18"/>
    <w:rsid w:val="00371492"/>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0207"/>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0560"/>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96896"/>
    <w:rsid w:val="007A1DA9"/>
    <w:rsid w:val="007B2252"/>
    <w:rsid w:val="007B79D9"/>
    <w:rsid w:val="007C67B1"/>
    <w:rsid w:val="007E354A"/>
    <w:rsid w:val="007E69C8"/>
    <w:rsid w:val="0080525B"/>
    <w:rsid w:val="008062C5"/>
    <w:rsid w:val="0080741A"/>
    <w:rsid w:val="00814B5B"/>
    <w:rsid w:val="00836F34"/>
    <w:rsid w:val="00840AFC"/>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922"/>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66D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BE6B72"/>
    <w:rsid w:val="00C04F82"/>
    <w:rsid w:val="00C15AC0"/>
    <w:rsid w:val="00C26030"/>
    <w:rsid w:val="00C41091"/>
    <w:rsid w:val="00C63056"/>
    <w:rsid w:val="00C661D1"/>
    <w:rsid w:val="00C775BA"/>
    <w:rsid w:val="00C85331"/>
    <w:rsid w:val="00C85A50"/>
    <w:rsid w:val="00C94D46"/>
    <w:rsid w:val="00CA0183"/>
    <w:rsid w:val="00CA443A"/>
    <w:rsid w:val="00CB2461"/>
    <w:rsid w:val="00CB37FD"/>
    <w:rsid w:val="00CC4D65"/>
    <w:rsid w:val="00CC61E7"/>
    <w:rsid w:val="00CD25AD"/>
    <w:rsid w:val="00CD3FFC"/>
    <w:rsid w:val="00CF565C"/>
    <w:rsid w:val="00D016A3"/>
    <w:rsid w:val="00D512E3"/>
    <w:rsid w:val="00D576C7"/>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81919"/>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52742"/>
    <w:rsid w:val="00F64E72"/>
    <w:rsid w:val="00F70C7D"/>
    <w:rsid w:val="00F9272E"/>
    <w:rsid w:val="00F97743"/>
    <w:rsid w:val="00FA6DAF"/>
    <w:rsid w:val="00FC6884"/>
    <w:rsid w:val="00FE2FA0"/>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D2B3"/>
  <w15:docId w15:val="{74C0C73F-E992-4AF8-BA7C-A388B19C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uiPriority w:val="99"/>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~WRL0840.tmp</Template>
  <TotalTime>14</TotalTime>
  <Pages>5</Pages>
  <Words>597</Words>
  <Characters>3409</Characters>
  <Application>Microsoft Office Word</Application>
  <DocSecurity>0</DocSecurity>
  <Lines>28</Lines>
  <Paragraphs>7</Paragraphs>
  <ScaleCrop>false</ScaleCrop>
  <Company>微软中国</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国彦</cp:lastModifiedBy>
  <cp:revision>268</cp:revision>
  <cp:lastPrinted>2014-02-21T05:34:00Z</cp:lastPrinted>
  <dcterms:created xsi:type="dcterms:W3CDTF">2012-09-09T08:59:00Z</dcterms:created>
  <dcterms:modified xsi:type="dcterms:W3CDTF">2025-05-16T10:39:00Z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