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FD7E0">
      <w:pPr>
        <w:spacing w:before="156" w:beforeLines="50" w:after="156" w:afterLines="50" w:line="40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 xml:space="preserve">证券代码： </w:t>
      </w:r>
      <w:r>
        <w:rPr>
          <w:rFonts w:asciiTheme="minorEastAsia" w:hAnsiTheme="minorEastAsia" w:eastAsiaTheme="minorEastAsia"/>
          <w:bCs/>
          <w:iCs/>
          <w:color w:val="000000"/>
          <w:sz w:val="24"/>
        </w:rPr>
        <w:t>688107</w:t>
      </w:r>
      <w:r>
        <w:rPr>
          <w:rFonts w:hint="eastAsia" w:asciiTheme="minorEastAsia" w:hAnsiTheme="minorEastAsia" w:eastAsiaTheme="minorEastAsia"/>
          <w:bCs/>
          <w:iCs/>
          <w:color w:val="000000"/>
          <w:sz w:val="24"/>
        </w:rPr>
        <w:t xml:space="preserve">        </w:t>
      </w:r>
      <w:r>
        <w:rPr>
          <w:rFonts w:asciiTheme="minorEastAsia" w:hAnsiTheme="minorEastAsia" w:eastAsiaTheme="minorEastAsia"/>
          <w:bCs/>
          <w:iCs/>
          <w:color w:val="000000"/>
          <w:sz w:val="24"/>
        </w:rPr>
        <w:t xml:space="preserve">   </w:t>
      </w:r>
      <w:r>
        <w:rPr>
          <w:rFonts w:hint="eastAsia" w:asciiTheme="minorEastAsia" w:hAnsiTheme="minorEastAsia" w:eastAsiaTheme="minorEastAsia"/>
          <w:bCs/>
          <w:iCs/>
          <w:color w:val="000000"/>
          <w:sz w:val="24"/>
        </w:rPr>
        <w:t xml:space="preserve">    </w:t>
      </w:r>
      <w:r>
        <w:rPr>
          <w:rFonts w:asciiTheme="minorEastAsia" w:hAnsiTheme="minorEastAsia" w:eastAsiaTheme="minorEastAsia"/>
          <w:bCs/>
          <w:iCs/>
          <w:color w:val="000000"/>
          <w:sz w:val="24"/>
        </w:rPr>
        <w:t xml:space="preserve">             </w:t>
      </w:r>
      <w:r>
        <w:rPr>
          <w:rFonts w:hint="eastAsia" w:asciiTheme="minorEastAsia" w:hAnsiTheme="minorEastAsia" w:eastAsiaTheme="minorEastAsia"/>
          <w:bCs/>
          <w:iCs/>
          <w:color w:val="000000"/>
          <w:sz w:val="24"/>
        </w:rPr>
        <w:t xml:space="preserve">    证券简称：安路科技</w:t>
      </w:r>
    </w:p>
    <w:p w14:paraId="00C58B53">
      <w:pPr>
        <w:spacing w:before="312" w:beforeLines="100" w:after="156" w:afterLines="50" w:line="400" w:lineRule="exact"/>
        <w:jc w:val="center"/>
        <w:rPr>
          <w:rFonts w:asciiTheme="minorEastAsia" w:hAnsiTheme="minorEastAsia" w:eastAsiaTheme="minorEastAsia"/>
          <w:b/>
          <w:bCs/>
          <w:iCs/>
          <w:color w:val="000000"/>
          <w:sz w:val="32"/>
          <w:szCs w:val="32"/>
        </w:rPr>
      </w:pPr>
      <w:r>
        <w:rPr>
          <w:rFonts w:hint="eastAsia" w:asciiTheme="minorEastAsia" w:hAnsiTheme="minorEastAsia" w:eastAsiaTheme="minorEastAsia"/>
          <w:b/>
          <w:bCs/>
          <w:iCs/>
          <w:color w:val="000000"/>
          <w:sz w:val="32"/>
          <w:szCs w:val="32"/>
        </w:rPr>
        <w:t>上海安路信息科技股份有限公司</w:t>
      </w:r>
    </w:p>
    <w:p w14:paraId="72FF1E46">
      <w:pPr>
        <w:spacing w:before="156" w:beforeLines="50" w:after="156" w:afterLines="50" w:line="400" w:lineRule="exact"/>
        <w:jc w:val="center"/>
        <w:rPr>
          <w:rFonts w:asciiTheme="minorEastAsia" w:hAnsiTheme="minorEastAsia" w:eastAsiaTheme="minorEastAsia"/>
          <w:b/>
          <w:bCs/>
          <w:iCs/>
          <w:color w:val="000000"/>
          <w:sz w:val="32"/>
          <w:szCs w:val="32"/>
        </w:rPr>
      </w:pPr>
      <w:r>
        <w:rPr>
          <w:rFonts w:hint="eastAsia" w:asciiTheme="minorEastAsia" w:hAnsiTheme="minorEastAsia" w:eastAsiaTheme="minorEastAsia"/>
          <w:b/>
          <w:bCs/>
          <w:iCs/>
          <w:color w:val="000000"/>
          <w:sz w:val="32"/>
          <w:szCs w:val="32"/>
        </w:rPr>
        <w:t>投资者关系活动记录表</w:t>
      </w:r>
    </w:p>
    <w:p w14:paraId="1EE8DBF4">
      <w:pPr>
        <w:spacing w:line="400" w:lineRule="exact"/>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 xml:space="preserve">                                                      编号：2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-0</w:t>
      </w:r>
      <w:r>
        <w:rPr>
          <w:rFonts w:asciiTheme="minorEastAsia" w:hAnsiTheme="minorEastAsia" w:eastAsiaTheme="minorEastAsia"/>
          <w:bCs/>
          <w:iCs/>
          <w:color w:val="000000"/>
          <w:sz w:val="24"/>
        </w:rPr>
        <w:t>0</w:t>
      </w:r>
      <w:r>
        <w:rPr>
          <w:rFonts w:hint="eastAsia" w:asciiTheme="minorEastAsia" w:hAnsiTheme="minorEastAsia" w:eastAsiaTheme="minorEastAsia"/>
          <w:bCs/>
          <w:iCs/>
          <w:color w:val="000000"/>
          <w:sz w:val="24"/>
          <w:lang w:val="en-US" w:eastAsia="zh-CN"/>
        </w:rPr>
        <w:t>1</w:t>
      </w:r>
    </w:p>
    <w:tbl>
      <w:tblPr>
        <w:tblStyle w:val="5"/>
        <w:tblW w:w="892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940"/>
      </w:tblGrid>
      <w:tr w14:paraId="12C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6E320367">
            <w:pPr>
              <w:spacing w:line="480" w:lineRule="atLeast"/>
              <w:rPr>
                <w:rFonts w:asciiTheme="minorEastAsia" w:hAnsiTheme="minorEastAsia" w:eastAsiaTheme="minorEastAsia"/>
                <w:b/>
                <w:bCs/>
                <w:iCs/>
                <w:color w:val="000000"/>
                <w:sz w:val="24"/>
              </w:rPr>
            </w:pPr>
          </w:p>
          <w:p w14:paraId="67BB642A">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投资者关系活动类别</w:t>
            </w:r>
          </w:p>
        </w:tc>
        <w:tc>
          <w:tcPr>
            <w:tcW w:w="6940" w:type="dxa"/>
          </w:tcPr>
          <w:p w14:paraId="4D677F29">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□特定对象调研        □分析师会议</w:t>
            </w:r>
          </w:p>
          <w:p w14:paraId="3EAE0123">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□媒体采访            √业绩说明会</w:t>
            </w:r>
          </w:p>
          <w:p w14:paraId="414675D1">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□新闻发布会          □路演活动</w:t>
            </w:r>
          </w:p>
          <w:p w14:paraId="4943E464">
            <w:pPr>
              <w:tabs>
                <w:tab w:val="left" w:pos="2688"/>
                <w:tab w:val="center" w:pos="3199"/>
              </w:tabs>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□现场参观</w:t>
            </w:r>
            <w:r>
              <w:rPr>
                <w:rFonts w:asciiTheme="minorEastAsia" w:hAnsiTheme="minorEastAsia" w:eastAsiaTheme="minorEastAsia"/>
                <w:bCs/>
                <w:iCs/>
                <w:color w:val="000000"/>
                <w:sz w:val="24"/>
              </w:rPr>
              <w:tab/>
            </w:r>
            <w:r>
              <w:rPr>
                <w:rFonts w:hint="eastAsia" w:asciiTheme="minorEastAsia" w:hAnsiTheme="minorEastAsia" w:eastAsiaTheme="minorEastAsia"/>
                <w:bCs/>
                <w:iCs/>
                <w:color w:val="000000"/>
                <w:sz w:val="24"/>
              </w:rPr>
              <w:t>□电话会议</w:t>
            </w:r>
          </w:p>
          <w:p w14:paraId="6CF58A23">
            <w:pPr>
              <w:tabs>
                <w:tab w:val="center" w:pos="3199"/>
              </w:tabs>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□其他（请文字说明其他活动内容）</w:t>
            </w:r>
          </w:p>
        </w:tc>
      </w:tr>
      <w:tr w14:paraId="3146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303D1A82">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参与单位名称</w:t>
            </w:r>
          </w:p>
        </w:tc>
        <w:tc>
          <w:tcPr>
            <w:tcW w:w="6940" w:type="dxa"/>
          </w:tcPr>
          <w:p w14:paraId="50FDB0D4">
            <w:pPr>
              <w:spacing w:line="56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参与本次业绩说明会的线上投资者</w:t>
            </w:r>
          </w:p>
        </w:tc>
      </w:tr>
      <w:tr w14:paraId="094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5A37665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时间</w:t>
            </w:r>
          </w:p>
        </w:tc>
        <w:tc>
          <w:tcPr>
            <w:tcW w:w="6940" w:type="dxa"/>
            <w:vAlign w:val="center"/>
          </w:tcPr>
          <w:p w14:paraId="748A8552">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年</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月</w:t>
            </w:r>
            <w:r>
              <w:rPr>
                <w:rFonts w:hint="eastAsia" w:asciiTheme="minorEastAsia" w:hAnsiTheme="minorEastAsia" w:eastAsiaTheme="minorEastAsia"/>
                <w:bCs/>
                <w:iCs/>
                <w:color w:val="000000"/>
                <w:sz w:val="24"/>
                <w:lang w:val="en-US" w:eastAsia="zh-CN"/>
              </w:rPr>
              <w:t>15</w:t>
            </w:r>
            <w:r>
              <w:rPr>
                <w:rFonts w:hint="eastAsia" w:asciiTheme="minorEastAsia" w:hAnsiTheme="minorEastAsia" w:eastAsiaTheme="minorEastAsia"/>
                <w:bCs/>
                <w:iCs/>
                <w:color w:val="000000"/>
                <w:sz w:val="24"/>
              </w:rPr>
              <w:t>日下午1</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:0</w:t>
            </w:r>
            <w:r>
              <w:rPr>
                <w:rFonts w:asciiTheme="minorEastAsia" w:hAnsiTheme="minorEastAsia" w:eastAsiaTheme="minorEastAsia"/>
                <w:bCs/>
                <w:iCs/>
                <w:color w:val="000000"/>
                <w:sz w:val="24"/>
              </w:rPr>
              <w:t>0</w:t>
            </w:r>
            <w:r>
              <w:rPr>
                <w:rFonts w:hint="eastAsia" w:asciiTheme="minorEastAsia" w:hAnsiTheme="minorEastAsia" w:eastAsiaTheme="minorEastAsia"/>
                <w:bCs/>
                <w:iCs/>
                <w:color w:val="000000"/>
                <w:sz w:val="24"/>
              </w:rPr>
              <w:t>-</w:t>
            </w:r>
            <w:r>
              <w:rPr>
                <w:rFonts w:asciiTheme="minorEastAsia" w:hAnsiTheme="minorEastAsia" w:eastAsiaTheme="minorEastAsia"/>
                <w:bCs/>
                <w:iCs/>
                <w:color w:val="000000"/>
                <w:sz w:val="24"/>
              </w:rPr>
              <w:t>1</w:t>
            </w:r>
            <w:r>
              <w:rPr>
                <w:rFonts w:hint="eastAsia" w:asciiTheme="minorEastAsia" w:hAnsiTheme="minorEastAsia" w:eastAsiaTheme="minorEastAsia"/>
                <w:bCs/>
                <w:iCs/>
                <w:color w:val="000000"/>
                <w:sz w:val="24"/>
                <w:lang w:val="en-US" w:eastAsia="zh-CN"/>
              </w:rPr>
              <w:t>6</w:t>
            </w:r>
            <w:r>
              <w:rPr>
                <w:rFonts w:hint="eastAsia" w:asciiTheme="minorEastAsia" w:hAnsiTheme="minorEastAsia" w:eastAsiaTheme="minorEastAsia"/>
                <w:bCs/>
                <w:iCs/>
                <w:color w:val="000000"/>
                <w:sz w:val="24"/>
              </w:rPr>
              <w:t>:</w:t>
            </w:r>
            <w:r>
              <w:rPr>
                <w:rFonts w:hint="eastAsia" w:asciiTheme="minorEastAsia" w:hAnsiTheme="minorEastAsia" w:eastAsiaTheme="minorEastAsia"/>
                <w:bCs/>
                <w:iCs/>
                <w:color w:val="000000"/>
                <w:sz w:val="24"/>
                <w:lang w:val="en-US" w:eastAsia="zh-CN"/>
              </w:rPr>
              <w:t>3</w:t>
            </w:r>
            <w:r>
              <w:rPr>
                <w:rFonts w:asciiTheme="minorEastAsia" w:hAnsiTheme="minorEastAsia" w:eastAsiaTheme="minorEastAsia"/>
                <w:bCs/>
                <w:iCs/>
                <w:color w:val="000000"/>
                <w:sz w:val="24"/>
              </w:rPr>
              <w:t>0</w:t>
            </w:r>
          </w:p>
        </w:tc>
      </w:tr>
      <w:tr w14:paraId="2099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5" w:type="dxa"/>
          </w:tcPr>
          <w:p w14:paraId="5BAE623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地点</w:t>
            </w:r>
          </w:p>
        </w:tc>
        <w:tc>
          <w:tcPr>
            <w:tcW w:w="6940" w:type="dxa"/>
            <w:vAlign w:val="center"/>
          </w:tcPr>
          <w:p w14:paraId="68D383B4">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上海证券交易所上证路演中心</w:t>
            </w:r>
          </w:p>
          <w:p w14:paraId="6CB9A192">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（http://roadshow.sseinfo.com）</w:t>
            </w:r>
          </w:p>
        </w:tc>
      </w:tr>
      <w:tr w14:paraId="030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296E173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上市公司参加人员姓名</w:t>
            </w:r>
          </w:p>
        </w:tc>
        <w:tc>
          <w:tcPr>
            <w:tcW w:w="6940" w:type="dxa"/>
            <w:vAlign w:val="center"/>
          </w:tcPr>
          <w:p w14:paraId="398A7A6B">
            <w:pPr>
              <w:spacing w:line="360" w:lineRule="auto"/>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董事、总经理：</w:t>
            </w:r>
            <w:r>
              <w:rPr>
                <w:rFonts w:hint="eastAsia" w:asciiTheme="minorEastAsia" w:hAnsiTheme="minorEastAsia" w:eastAsiaTheme="minorEastAsia"/>
                <w:bCs/>
                <w:iCs/>
                <w:color w:val="000000"/>
                <w:sz w:val="24"/>
                <w:lang w:val="en-US" w:eastAsia="zh-CN"/>
              </w:rPr>
              <w:t>文华武</w:t>
            </w:r>
          </w:p>
          <w:p w14:paraId="3288DF14">
            <w:pPr>
              <w:spacing w:line="360" w:lineRule="auto"/>
              <w:rPr>
                <w:rFonts w:hint="default" w:asciiTheme="minorEastAsia" w:hAnsiTheme="minorEastAsia" w:eastAsiaTheme="minorEastAsia"/>
                <w:bCs/>
                <w:iCs/>
                <w:color w:val="000000"/>
                <w:sz w:val="24"/>
                <w:lang w:val="en-US" w:eastAsia="zh-CN"/>
              </w:rPr>
            </w:pPr>
            <w:r>
              <w:rPr>
                <w:rFonts w:hint="eastAsia" w:asciiTheme="minorEastAsia" w:hAnsiTheme="minorEastAsia" w:eastAsiaTheme="minorEastAsia"/>
                <w:bCs/>
                <w:iCs/>
                <w:color w:val="000000"/>
                <w:sz w:val="24"/>
                <w:lang w:val="en-US" w:eastAsia="zh-CN"/>
              </w:rPr>
              <w:t>副总经理、</w:t>
            </w:r>
            <w:r>
              <w:rPr>
                <w:rFonts w:hint="eastAsia" w:asciiTheme="minorEastAsia" w:hAnsiTheme="minorEastAsia" w:eastAsiaTheme="minorEastAsia"/>
                <w:bCs/>
                <w:iCs/>
                <w:color w:val="000000"/>
                <w:sz w:val="24"/>
              </w:rPr>
              <w:t>财务总监</w:t>
            </w:r>
            <w:r>
              <w:rPr>
                <w:rFonts w:hint="eastAsia" w:asciiTheme="minorEastAsia" w:hAnsiTheme="minorEastAsia" w:eastAsiaTheme="minorEastAsia"/>
                <w:bCs/>
                <w:iCs/>
                <w:color w:val="000000"/>
                <w:sz w:val="24"/>
                <w:lang w:eastAsia="zh-CN"/>
              </w:rPr>
              <w:t>：</w:t>
            </w:r>
            <w:r>
              <w:rPr>
                <w:rFonts w:hint="eastAsia" w:asciiTheme="minorEastAsia" w:hAnsiTheme="minorEastAsia" w:eastAsiaTheme="minorEastAsia"/>
                <w:bCs/>
                <w:iCs/>
                <w:color w:val="000000"/>
                <w:sz w:val="24"/>
                <w:lang w:val="en-US" w:eastAsia="zh-CN"/>
              </w:rPr>
              <w:t>郑成</w:t>
            </w:r>
          </w:p>
          <w:p w14:paraId="3D0886F0">
            <w:pPr>
              <w:spacing w:line="360" w:lineRule="auto"/>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董事会秘书：</w:t>
            </w:r>
            <w:r>
              <w:rPr>
                <w:rFonts w:hint="eastAsia" w:asciiTheme="minorEastAsia" w:hAnsiTheme="minorEastAsia" w:eastAsiaTheme="minorEastAsia"/>
                <w:bCs/>
                <w:iCs/>
                <w:color w:val="000000"/>
                <w:sz w:val="24"/>
                <w:lang w:val="en-US" w:eastAsia="zh-CN"/>
              </w:rPr>
              <w:t>吴浩然</w:t>
            </w:r>
          </w:p>
          <w:p w14:paraId="66A09893">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独立董事：戴继雄</w:t>
            </w:r>
          </w:p>
        </w:tc>
      </w:tr>
      <w:tr w14:paraId="44D6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85" w:type="dxa"/>
            <w:vAlign w:val="center"/>
          </w:tcPr>
          <w:p w14:paraId="4FE08585">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投资者关系活动主要内容介绍</w:t>
            </w:r>
          </w:p>
        </w:tc>
        <w:tc>
          <w:tcPr>
            <w:tcW w:w="6940" w:type="dxa"/>
          </w:tcPr>
          <w:p w14:paraId="19578E4A">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公司</w:t>
            </w:r>
            <w:r>
              <w:rPr>
                <w:rFonts w:hint="eastAsia" w:asciiTheme="minorEastAsia" w:hAnsiTheme="minorEastAsia" w:eastAsiaTheme="minorEastAsia"/>
                <w:bCs/>
                <w:iCs/>
                <w:color w:val="000000" w:themeColor="text1"/>
                <w:sz w:val="24"/>
                <w:lang w:val="en-US" w:eastAsia="zh-CN"/>
                <w14:textFill>
                  <w14:solidFill>
                    <w14:schemeClr w14:val="tx1"/>
                  </w14:solidFill>
                </w14:textFill>
              </w:rPr>
              <w:t>参加了在上海证券交易所上证路演中心网络平台(http://roadshow.sseinfo.com)举行的2</w:t>
            </w:r>
            <w:r>
              <w:rPr>
                <w:rFonts w:hint="eastAsia" w:ascii="宋体" w:hAnsi="宋体" w:eastAsia="宋体" w:cs="宋体"/>
                <w:kern w:val="2"/>
                <w:sz w:val="24"/>
                <w:szCs w:val="24"/>
                <w:lang w:val="en-US" w:eastAsia="zh-CN" w:bidi="ar-SA"/>
              </w:rPr>
              <w:t>025年上海辖区上市公司年报集体业绩说明会</w:t>
            </w:r>
            <w:r>
              <w:rPr>
                <w:rFonts w:hint="eastAsia" w:asciiTheme="minorEastAsia" w:hAnsiTheme="minorEastAsia" w:eastAsiaTheme="minorEastAsia"/>
                <w:bCs/>
                <w:iCs/>
                <w:color w:val="000000" w:themeColor="text1"/>
                <w:sz w:val="24"/>
                <w:lang w:val="en-US" w:eastAsia="zh-CN"/>
                <w14:textFill>
                  <w14:solidFill>
                    <w14:schemeClr w14:val="tx1"/>
                  </w14:solidFill>
                </w14:textFill>
              </w:rPr>
              <w:t>，以网络文字互动的形式与投资者展开了互动交流。其中部分主要问题及回复如下：</w:t>
            </w:r>
          </w:p>
          <w:p w14:paraId="1C42424D">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Q1：请介绍一下2024年及2025年一季度的业绩情况？</w:t>
            </w:r>
          </w:p>
          <w:p w14:paraId="41F5C84E">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A：2024年度，公司实现营业收入6.52亿元，同比减少6.99%；主要原因系部分终端行业客户去库存周期尚未结束、下游市场各行业需求复苏进程不一等因素影响，导致营业收入同比减少。</w:t>
            </w:r>
          </w:p>
          <w:p w14:paraId="5831A9EE">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2024年度，公司归属于上市公司股东的净利润为-20,514.18万元；归属于上市公司股东的扣除非经常性损益的净利润为-24,048.50万元。公司报告期内维持较高的产品研发与团队建设投入，同时由于收入和毛利同比下降，导致报告期内归属于母公司所有者的净利润及归属于母公司所有者扣除非经常性损益后的净利润较上年同期减少，基本每股收益、稀释每股收益及扣除非经常性损益后的基本每股收益均同比下降。</w:t>
            </w:r>
          </w:p>
          <w:p w14:paraId="0927A9FA">
            <w:pPr>
              <w:spacing w:line="440" w:lineRule="exact"/>
              <w:ind w:firstLine="480" w:firstLineChars="200"/>
              <w:rPr>
                <w:rFonts w:hint="default"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2025年一季度，公司实现营业收入9,329.42万元，同比下降34%。一季度尽管诸多下游应用领域已有复苏迹象，新客户数量、新产品导入项目数均稳定增加，但由于部分终端行业客户需求阶段性波动，导致本报告期营业收入同比减少。报告期内归属于上市公司股东的扣除非经常性损益的净利润为-6,039.69万元。</w:t>
            </w:r>
          </w:p>
          <w:p w14:paraId="2032DC80">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Q2：请问公司是否具备长期可持续增长性，请介绍一下未来的发展战略和经营计划?</w:t>
            </w:r>
          </w:p>
          <w:p w14:paraId="78F9011A">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A：公司未来经营将紧跟行业趋势和市场需求，围绕“市场-研发-品控-人才”四维驱动体系全面突破，进一步夯实能力底座，实现长期可持续发展。</w:t>
            </w:r>
          </w:p>
          <w:p w14:paraId="27C52E14">
            <w:pPr>
              <w:spacing w:line="440" w:lineRule="exact"/>
              <w:ind w:firstLine="480" w:firstLineChars="200"/>
              <w:rPr>
                <w:rFonts w:hint="default"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首先，是加大市场拓展力度，提升市场占有率。未来将充分利用现有市场资源，发挥产品差异化布局优势，深耕通信、工业、消费电子、医疗、电力能源等现有市场，挖掘培育汽车电子、数据中心、边缘计算、低空经济、高端装备、</w:t>
            </w:r>
            <w:r>
              <w:rPr>
                <w:rFonts w:hint="default" w:asciiTheme="minorEastAsia" w:hAnsiTheme="minorEastAsia" w:eastAsiaTheme="minorEastAsia"/>
                <w:bCs/>
                <w:iCs/>
                <w:color w:val="000000" w:themeColor="text1"/>
                <w:sz w:val="24"/>
                <w:lang w:val="en-US" w:eastAsia="zh-CN"/>
                <w14:textFill>
                  <w14:solidFill>
                    <w14:schemeClr w14:val="tx1"/>
                  </w14:solidFill>
                </w14:textFill>
              </w:rPr>
              <w:t>人形</w:t>
            </w:r>
            <w:r>
              <w:rPr>
                <w:rFonts w:hint="eastAsia" w:asciiTheme="minorEastAsia" w:hAnsiTheme="minorEastAsia" w:eastAsiaTheme="minorEastAsia"/>
                <w:bCs/>
                <w:iCs/>
                <w:color w:val="000000" w:themeColor="text1"/>
                <w:sz w:val="24"/>
                <w:lang w:val="en-US" w:eastAsia="zh-CN"/>
                <w14:textFill>
                  <w14:solidFill>
                    <w14:schemeClr w14:val="tx1"/>
                  </w14:solidFill>
                </w14:textFill>
              </w:rPr>
              <w:t>机器人、未来显示、新型储能等领域的新兴应用和新兴客户。加大海外市场拓展力度，多途径提升产品销售收入。</w:t>
            </w:r>
          </w:p>
          <w:p w14:paraId="0CE2DCD4">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第二，完善产品布局，提高市场竞争力。公司将在现有产品矩阵和研发成果的基础上，扎实推进新产品研发进度，积极布局新一代技术预研，完善RISC-V FPGA生态，实现“FPGA/FPSoC芯片+专用EDA软件+IP/System解决方案+技术支持”体系不断迭代升级，保障公司销售收入和利润水平增长。</w:t>
            </w:r>
          </w:p>
          <w:p w14:paraId="2E81E39E">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第三，提升高质高效量产能力，保障供应链安全可靠。公司未来将坚持以客户为中心，全方位提升研发、产品、技术服务及交付质量，强化供应链安全建设，全面优化客户体验，为公司业务的持续稳健发展注入强劲动力。</w:t>
            </w:r>
          </w:p>
          <w:p w14:paraId="65E5B30E">
            <w:pPr>
              <w:spacing w:line="440" w:lineRule="exact"/>
              <w:ind w:firstLine="480"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最后，构建人才发展新高地，驱动公司长期可持续发展。公司未来将持续强化人才梯队建设，健全内部考核与晋升制度，选拔和培养优秀人才；重视人才的全方位成长，开展丰富多样、与业务紧密结合的内部培训以及专业化、系统化的外部培训，拓宽员工视野，深化其专业技能；优化多元激励机制，增强团队凝聚力，充分激发员工积极性、主动性和创造性；持续推进管理层建立高效灵活、快速决策的治理机制，以提高整体运营效率。</w:t>
            </w:r>
          </w:p>
          <w:p w14:paraId="7DA448DE">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Q3：公司2024年在FPGA芯片的制程工艺和核心技术上有哪些突破？</w:t>
            </w:r>
          </w:p>
          <w:p w14:paraId="77E8FC92">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公司核心技术来源为自主研发，经过长期持续的研发投入，在FPGA、FPSoC芯片产品领域形成了丰富的技术成果。在硬件设计方面，公司是国内首批具有先进制程FPGA芯片设计与量产能力的企业之一，形成了相对完善的产品布局；在软件技术方面，公司自主研发的全流程FPGA专用EDA软件TangDynasty、面向FPSoC芯片的集成开发环境FutureDynasty获得了广泛应用；在FPGA芯片测试方面，公司自主开发的工程和量产技术保证了产品具有竞争力的良率和品质；在FPGA芯片应用方案方面，公司积累了丰富的高效应用IP及参考设计，不断提升对复杂、高性能要求应用场景的支持能力。2024年，公司凭借先进创新的科技成果，荣获上海市科技进步奖二等奖、中国电子学会科技进步奖二等奖等奖项。</w:t>
            </w:r>
          </w:p>
          <w:p w14:paraId="54E5CC3D">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更多详细的内容您可参看公司2024年年报中“第三节 管理层讨论及分析”中的“（四）核心技术及研发进展”。</w:t>
            </w:r>
          </w:p>
          <w:p w14:paraId="4054D92B">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Q4：下一步，公司在产品开发和市场拓展方面将有何计划?</w:t>
            </w:r>
          </w:p>
          <w:p w14:paraId="3924D997">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产品开发方面，公司将开展芯片架构、高性能IP、EDA软件前沿算法等技术研究，加快推出更大逻辑规模与更高性能水平的芯片产品；从逻辑规模、功耗水平、重点IP性能、IO数量等维度进一步丰富产品规格型号，满足更广泛的客户需求；增强专用EDA软件的综合实力，完善FPSoC软件生态，提升产品应用广度和客户使用满意度；丰富高效应用IP及参考设计，扩展IP及参考设计开发模式，提高广泛应用领域的客户开发效率；持续完善RISC-V FPGA生态，在实时控制、异构计算、系统集成、软件生态等方面构建产品竞争力。</w:t>
            </w:r>
          </w:p>
          <w:p w14:paraId="286B26CD">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市场拓展方面，公司将继续深耕通信、工业、消费电子、医疗、电力能源等现有市场，挖掘培育汽车电子、数据中心、边缘计算、低空经济、高端装备、</w:t>
            </w:r>
            <w:r>
              <w:rPr>
                <w:rFonts w:hint="default" w:asciiTheme="minorEastAsia" w:hAnsiTheme="minorEastAsia" w:eastAsiaTheme="minorEastAsia"/>
                <w:bCs/>
                <w:iCs/>
                <w:color w:val="000000" w:themeColor="text1"/>
                <w:sz w:val="24"/>
                <w:lang w:val="en-US" w:eastAsia="zh-CN"/>
                <w14:textFill>
                  <w14:solidFill>
                    <w14:schemeClr w14:val="tx1"/>
                  </w14:solidFill>
                </w14:textFill>
              </w:rPr>
              <w:t>人形</w:t>
            </w:r>
            <w:r>
              <w:rPr>
                <w:rFonts w:hint="eastAsia" w:asciiTheme="minorEastAsia" w:hAnsiTheme="minorEastAsia" w:eastAsiaTheme="minorEastAsia"/>
                <w:bCs/>
                <w:iCs/>
                <w:color w:val="000000" w:themeColor="text1"/>
                <w:sz w:val="24"/>
                <w:lang w:val="en-US" w:eastAsia="zh-CN"/>
                <w14:textFill>
                  <w14:solidFill>
                    <w14:schemeClr w14:val="tx1"/>
                  </w14:solidFill>
                </w14:textFill>
              </w:rPr>
              <w:t>机器人、未来显示、新型储能等领域的新兴应用和新兴客户。加大海外市场拓展力度，多途径提升产品销售收入。同时，公司将加强市场营销团队建设，升级全周期技术支撑体系与分级响应服务机制，优化资源配置，完善销售体系培训与激励体系，缩短新产品导入周期，持续提升客户满意度，实现销售转化与客户成功双重保障。</w:t>
            </w:r>
          </w:p>
          <w:p w14:paraId="63EBE4C8">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Q5：2024年公司与产业链上下游伙伴合作情况如何?随着行业复苏，未来在供应链方面有何经营计划?</w:t>
            </w:r>
          </w:p>
          <w:p w14:paraId="6A4884DF">
            <w:pPr>
              <w:spacing w:line="440" w:lineRule="exact"/>
              <w:ind w:firstLine="480" w:firstLineChars="200"/>
              <w:rPr>
                <w:rFonts w:hint="default" w:asciiTheme="minorEastAsia" w:hAnsiTheme="minorEastAsia" w:eastAsiaTheme="minorEastAsia"/>
                <w:b w:val="0"/>
                <w:bCs/>
                <w:iCs/>
                <w:color w:val="000000" w:themeColor="text1"/>
                <w:sz w:val="24"/>
                <w:lang w:val="en-US" w:eastAsia="zh-CN"/>
                <w14:textFill>
                  <w14:solidFill>
                    <w14:schemeClr w14:val="tx1"/>
                  </w14:solidFill>
                </w14:textFill>
              </w:rPr>
            </w:pPr>
            <w:r>
              <w:rPr>
                <w:rFonts w:hint="default" w:asciiTheme="minorEastAsia" w:hAnsiTheme="minorEastAsia" w:eastAsiaTheme="minorEastAsia"/>
                <w:b w:val="0"/>
                <w:bCs/>
                <w:iCs/>
                <w:color w:val="000000" w:themeColor="text1"/>
                <w:sz w:val="24"/>
                <w:lang w:val="en-US" w:eastAsia="zh-CN"/>
                <w14:textFill>
                  <w14:solidFill>
                    <w14:schemeClr w14:val="tx1"/>
                  </w14:solidFill>
                </w14:textFill>
              </w:rPr>
              <w:t>A</w:t>
            </w:r>
            <w:r>
              <w:rPr>
                <w:rFonts w:hint="eastAsia" w:asciiTheme="minorEastAsia" w:hAnsiTheme="minorEastAsia" w:eastAsiaTheme="minorEastAsia"/>
                <w:bCs/>
                <w:iCs/>
                <w:color w:val="000000" w:themeColor="text1"/>
                <w:sz w:val="24"/>
                <w:lang w:val="en-US" w:eastAsia="zh-CN"/>
                <w14:textFill>
                  <w14:solidFill>
                    <w14:schemeClr w14:val="tx1"/>
                  </w14:solidFill>
                </w14:textFill>
              </w:rPr>
              <w:t>：</w:t>
            </w:r>
            <w:r>
              <w:rPr>
                <w:rFonts w:hint="default" w:asciiTheme="minorEastAsia" w:hAnsiTheme="minorEastAsia" w:eastAsiaTheme="minorEastAsia"/>
                <w:b w:val="0"/>
                <w:bCs/>
                <w:iCs/>
                <w:color w:val="000000" w:themeColor="text1"/>
                <w:sz w:val="24"/>
                <w:lang w:val="en-US" w:eastAsia="zh-CN"/>
                <w14:textFill>
                  <w14:solidFill>
                    <w14:schemeClr w14:val="tx1"/>
                  </w14:solidFill>
                </w14:textFill>
              </w:rPr>
              <w:t>2024年，公司与产业链上下游企业建立了深度合作伙伴关系。与供应链上的龙头企业及知名企业紧密合作，高度关注上游供应商研发规划与市场布局，积极扩大合作伙伴范围，已形成覆盖需求响应、技术适配、产能调配的全链条协作机制。通过在行业内的长期耕耘，公司与产业链主要环节核心参与方建立了深厚稳固的合作关系。</w:t>
            </w:r>
          </w:p>
          <w:p w14:paraId="125DA0EB">
            <w:pPr>
              <w:spacing w:line="440" w:lineRule="exact"/>
              <w:ind w:firstLine="480" w:firstLineChars="200"/>
              <w:rPr>
                <w:rFonts w:hint="default" w:asciiTheme="minorEastAsia" w:hAnsiTheme="minorEastAsia" w:eastAsiaTheme="minorEastAsia"/>
                <w:bCs/>
                <w:iCs/>
                <w:color w:val="000000" w:themeColor="text1"/>
                <w:sz w:val="24"/>
                <w:lang w:val="en-US" w:eastAsia="zh-CN"/>
                <w14:textFill>
                  <w14:solidFill>
                    <w14:schemeClr w14:val="tx1"/>
                  </w14:solidFill>
                </w14:textFill>
              </w:rPr>
            </w:pPr>
            <w:r>
              <w:rPr>
                <w:rFonts w:hint="default" w:asciiTheme="minorEastAsia" w:hAnsiTheme="minorEastAsia" w:eastAsiaTheme="minorEastAsia"/>
                <w:b w:val="0"/>
                <w:bCs/>
                <w:iCs/>
                <w:color w:val="000000" w:themeColor="text1"/>
                <w:sz w:val="24"/>
                <w:lang w:val="en-US" w:eastAsia="zh-CN"/>
                <w14:textFill>
                  <w14:solidFill>
                    <w14:schemeClr w14:val="tx1"/>
                  </w14:solidFill>
                </w14:textFill>
              </w:rPr>
              <w:t>公司未来将深入总结运营管理、质量管理经验，继续优化从研发到最终量产的全流程产品质量管控体系，加强标准流程建设与过程管控，完善质量反馈和持续改进机制，塑造全员重视质量的氛围，不断提高产品生产良率，降低生产成本，稳步提升产品竞争力；持续完善供应链体系，深化与供应商的长期伙伴关系，与关键供应商在先进技术研发、质量提升等方面深入合作，提升供应链整体协同能力与应变速度，推动高质量产品稳定供应。</w:t>
            </w:r>
          </w:p>
          <w:p w14:paraId="482C79EE">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w:t>
            </w:r>
            <w:r>
              <w:rPr>
                <w:rFonts w:hint="default" w:asciiTheme="minorEastAsia" w:hAnsiTheme="minorEastAsia" w:eastAsiaTheme="minorEastAsia"/>
                <w:b/>
                <w:bCs w:val="0"/>
                <w:iCs/>
                <w:color w:val="000000" w:themeColor="text1"/>
                <w:sz w:val="24"/>
                <w:lang w:val="en-US" w:eastAsia="zh-CN"/>
                <w14:textFill>
                  <w14:solidFill>
                    <w14:schemeClr w14:val="tx1"/>
                  </w14:solidFill>
                </w14:textFill>
              </w:rPr>
              <w:t>6</w:t>
            </w: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：质量是企业生存的根基,请介绍一下公司的质量管理体系?</w:t>
            </w:r>
          </w:p>
          <w:p w14:paraId="7BCCC5B1">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公司高度重视产品质量管理，建立了一套效率与质量并重的产品全流程质量管控体系，实现覆盖产品开发至生命周期各阶段的标准化管理，不断完善内部质量管理及供应商质量管理体系，定期开展质量提升活动，持续强化全员质量意识，多维度提升产品质量与可靠性，保障全系列FPGA/FPSoC芯片高水平的产品良率和质量。</w:t>
            </w:r>
          </w:p>
          <w:p w14:paraId="60AB41E5">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公司通过了多项管理体系认证，包括GB/T19001-2016质量管理体系认证、GB/T29490-2013知识产权管理体系认证、GB/T24001-2016环境管理体系认证、GB/T45001-2020职业健康安全管理体系认证、ISO22301:2019业务连续性管理体系、ISO/IEC27001:2013信息安全管理体系认证</w:t>
            </w:r>
            <w:bookmarkStart w:id="0" w:name="_GoBack"/>
            <w:bookmarkEnd w:id="0"/>
            <w:r>
              <w:rPr>
                <w:rFonts w:hint="eastAsia" w:asciiTheme="minorEastAsia" w:hAnsiTheme="minorEastAsia" w:eastAsiaTheme="minorEastAsia"/>
                <w:bCs/>
                <w:iCs/>
                <w:color w:val="000000" w:themeColor="text1"/>
                <w:sz w:val="24"/>
                <w:lang w:val="en-US" w:eastAsia="zh-CN"/>
                <w14:textFill>
                  <w14:solidFill>
                    <w14:schemeClr w14:val="tx1"/>
                  </w14:solidFill>
                </w14:textFill>
              </w:rPr>
              <w:t>。通过坚持不懈的制度完善与流程优化，推动公司高质量发展再上新台阶。</w:t>
            </w:r>
          </w:p>
          <w:p w14:paraId="4BFCB650">
            <w:pPr>
              <w:spacing w:line="440" w:lineRule="exact"/>
              <w:ind w:firstLine="482" w:firstLineChars="200"/>
              <w:rPr>
                <w:rFonts w:hint="default"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w:t>
            </w:r>
            <w:r>
              <w:rPr>
                <w:rFonts w:hint="default" w:asciiTheme="minorEastAsia" w:hAnsiTheme="minorEastAsia" w:eastAsiaTheme="minorEastAsia"/>
                <w:b/>
                <w:bCs w:val="0"/>
                <w:iCs/>
                <w:color w:val="000000" w:themeColor="text1"/>
                <w:sz w:val="24"/>
                <w:lang w:val="en-US" w:eastAsia="zh-CN"/>
                <w14:textFill>
                  <w14:solidFill>
                    <w14:schemeClr w14:val="tx1"/>
                  </w14:solidFill>
                </w14:textFill>
              </w:rPr>
              <w:t>7</w:t>
            </w: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：公司2024年库存去化情况如何？</w:t>
            </w:r>
          </w:p>
          <w:p w14:paraId="71BE2779">
            <w:pPr>
              <w:spacing w:line="440" w:lineRule="exact"/>
              <w:ind w:firstLine="480" w:firstLineChars="200"/>
              <w:rPr>
                <w:rFonts w:hint="default"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lang w:val="en-US" w:eastAsia="zh-CN"/>
                <w14:textFill>
                  <w14:solidFill>
                    <w14:schemeClr w14:val="tx1"/>
                  </w14:solidFill>
                </w14:textFill>
              </w:rPr>
              <w:t>A：公司2024年期末存货余额为56,652.50万元，较上年期末下降26%，库存压降效果显著。公司FPGA产品2024年期末库存数量大幅减少，主要是由于成熟产品系列出货量大幅增长所致。</w:t>
            </w:r>
          </w:p>
          <w:p w14:paraId="4FFADA57">
            <w:pPr>
              <w:spacing w:line="440" w:lineRule="exact"/>
              <w:rPr>
                <w:rFonts w:hint="eastAsia" w:asciiTheme="minorEastAsia" w:hAnsiTheme="minorEastAsia" w:eastAsiaTheme="minorEastAsia"/>
                <w:bCs/>
                <w:iCs/>
                <w:color w:val="000000" w:themeColor="text1"/>
                <w:sz w:val="24"/>
                <w:lang w:val="en-US" w:eastAsia="zh-CN"/>
                <w14:textFill>
                  <w14:solidFill>
                    <w14:schemeClr w14:val="tx1"/>
                  </w14:solidFill>
                </w14:textFill>
              </w:rPr>
            </w:pPr>
          </w:p>
          <w:p w14:paraId="6248C5AD">
            <w:pPr>
              <w:spacing w:line="440" w:lineRule="exact"/>
              <w:jc w:val="left"/>
              <w:rPr>
                <w:rFonts w:hint="eastAsia" w:asciiTheme="minorEastAsia" w:hAnsiTheme="minorEastAsia" w:eastAsiaTheme="minorEastAsia"/>
                <w:bCs/>
                <w:iCs/>
                <w:color w:val="000000" w:themeColor="text1"/>
                <w:sz w:val="24"/>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有关本次业绩说明会的</w:t>
            </w:r>
            <w:r>
              <w:rPr>
                <w:rFonts w:hint="eastAsia"/>
                <w:sz w:val="24"/>
              </w:rPr>
              <w:t>更多</w:t>
            </w:r>
            <w:r>
              <w:rPr>
                <w:rFonts w:hint="eastAsia" w:asciiTheme="minorEastAsia" w:hAnsiTheme="minorEastAsia" w:eastAsiaTheme="minorEastAsia"/>
                <w:bCs/>
                <w:iCs/>
                <w:color w:val="000000" w:themeColor="text1"/>
                <w:sz w:val="24"/>
                <w14:textFill>
                  <w14:solidFill>
                    <w14:schemeClr w14:val="tx1"/>
                  </w14:solidFill>
                </w14:textFill>
              </w:rPr>
              <w:t>详情请见：</w:t>
            </w:r>
          </w:p>
          <w:p w14:paraId="6F87BB31">
            <w:pPr>
              <w:spacing w:line="440" w:lineRule="exact"/>
              <w:jc w:val="left"/>
              <w:rPr>
                <w:rFonts w:hint="eastAsia" w:asciiTheme="minorEastAsia" w:hAnsiTheme="minorEastAsia" w:eastAsiaTheme="minorEastAsia"/>
                <w:bCs/>
                <w:iCs/>
                <w:color w:val="000000" w:themeColor="text1"/>
                <w:sz w:val="24"/>
                <w:u w:val="none"/>
                <w14:textFill>
                  <w14:solidFill>
                    <w14:schemeClr w14:val="tx1"/>
                  </w14:solidFill>
                </w14:textFill>
              </w:rPr>
            </w:pPr>
            <w:r>
              <w:rPr>
                <w:rFonts w:hint="eastAsia" w:asciiTheme="minorEastAsia" w:hAnsiTheme="minorEastAsia" w:eastAsiaTheme="minorEastAsia"/>
                <w:bCs/>
                <w:iCs/>
                <w:color w:val="000000" w:themeColor="text1"/>
                <w:sz w:val="24"/>
                <w:u w:val="none"/>
                <w14:textFill>
                  <w14:solidFill>
                    <w14:schemeClr w14:val="tx1"/>
                  </w14:solidFill>
                </w14:textFill>
              </w:rPr>
              <w:t>https://roadshow.sseinfo.com/singleCompany/32579/231077</w:t>
            </w:r>
          </w:p>
        </w:tc>
      </w:tr>
      <w:tr w14:paraId="2A2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6317E294">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附件清单（如有）</w:t>
            </w:r>
          </w:p>
        </w:tc>
        <w:tc>
          <w:tcPr>
            <w:tcW w:w="6940" w:type="dxa"/>
          </w:tcPr>
          <w:p w14:paraId="4BC9B4EB">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无</w:t>
            </w:r>
          </w:p>
        </w:tc>
      </w:tr>
      <w:tr w14:paraId="7789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85" w:type="dxa"/>
            <w:vAlign w:val="center"/>
          </w:tcPr>
          <w:p w14:paraId="62E16338">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日期</w:t>
            </w:r>
          </w:p>
        </w:tc>
        <w:tc>
          <w:tcPr>
            <w:tcW w:w="6940" w:type="dxa"/>
          </w:tcPr>
          <w:p w14:paraId="6D3C8528">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年</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月</w:t>
            </w:r>
            <w:r>
              <w:rPr>
                <w:rFonts w:hint="eastAsia" w:asciiTheme="minorEastAsia" w:hAnsiTheme="minorEastAsia" w:eastAsiaTheme="minorEastAsia"/>
                <w:bCs/>
                <w:iCs/>
                <w:color w:val="000000"/>
                <w:sz w:val="24"/>
                <w:lang w:val="en-US" w:eastAsia="zh-CN"/>
              </w:rPr>
              <w:t>15</w:t>
            </w:r>
            <w:r>
              <w:rPr>
                <w:rFonts w:hint="eastAsia" w:asciiTheme="minorEastAsia" w:hAnsiTheme="minorEastAsia" w:eastAsiaTheme="minorEastAsia"/>
                <w:bCs/>
                <w:iCs/>
                <w:color w:val="000000"/>
                <w:sz w:val="24"/>
              </w:rPr>
              <w:t>日</w:t>
            </w:r>
          </w:p>
        </w:tc>
      </w:tr>
    </w:tbl>
    <w:p w14:paraId="3CB368FC">
      <w:pPr>
        <w:rPr>
          <w:rFonts w:asciiTheme="minorEastAsia" w:hAnsiTheme="minorEastAsia" w:eastAsiaTheme="minor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CA8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38B8694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1102">
    <w:pPr>
      <w:pStyle w:val="3"/>
      <w:framePr w:wrap="around" w:vAnchor="text" w:hAnchor="margin" w:xAlign="center" w:y="1"/>
      <w:rPr>
        <w:rStyle w:val="7"/>
      </w:rPr>
    </w:pPr>
    <w:r>
      <w:fldChar w:fldCharType="begin"/>
    </w:r>
    <w:r>
      <w:rPr>
        <w:rStyle w:val="7"/>
      </w:rPr>
      <w:instrText xml:space="preserve">PAGE  </w:instrText>
    </w:r>
    <w:r>
      <w:fldChar w:fldCharType="end"/>
    </w:r>
  </w:p>
  <w:p w14:paraId="0AFE86A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DRkNDAzYThiMjNjNjg0ZWMwMjhmZWNkNzNhNTEifQ=="/>
  </w:docVars>
  <w:rsids>
    <w:rsidRoot w:val="001B4B80"/>
    <w:rsid w:val="00005B18"/>
    <w:rsid w:val="000062BD"/>
    <w:rsid w:val="000557A1"/>
    <w:rsid w:val="00077951"/>
    <w:rsid w:val="0008744D"/>
    <w:rsid w:val="00095948"/>
    <w:rsid w:val="000A174A"/>
    <w:rsid w:val="000B1943"/>
    <w:rsid w:val="000C73FB"/>
    <w:rsid w:val="000E0D06"/>
    <w:rsid w:val="000F58F5"/>
    <w:rsid w:val="00107B4B"/>
    <w:rsid w:val="00114AFC"/>
    <w:rsid w:val="00116B35"/>
    <w:rsid w:val="00131928"/>
    <w:rsid w:val="0013413F"/>
    <w:rsid w:val="00134C9D"/>
    <w:rsid w:val="00140FA0"/>
    <w:rsid w:val="001430D6"/>
    <w:rsid w:val="00167354"/>
    <w:rsid w:val="001832B0"/>
    <w:rsid w:val="00185B23"/>
    <w:rsid w:val="001A7497"/>
    <w:rsid w:val="001B154C"/>
    <w:rsid w:val="001B4B80"/>
    <w:rsid w:val="001C299E"/>
    <w:rsid w:val="001C6BD4"/>
    <w:rsid w:val="001D4138"/>
    <w:rsid w:val="001D4EBB"/>
    <w:rsid w:val="001E4216"/>
    <w:rsid w:val="001F586A"/>
    <w:rsid w:val="00205E01"/>
    <w:rsid w:val="00206C54"/>
    <w:rsid w:val="0021117B"/>
    <w:rsid w:val="0021339D"/>
    <w:rsid w:val="0022274F"/>
    <w:rsid w:val="00297F92"/>
    <w:rsid w:val="002A40B2"/>
    <w:rsid w:val="002A4634"/>
    <w:rsid w:val="002B5592"/>
    <w:rsid w:val="002C45E3"/>
    <w:rsid w:val="002D7ED8"/>
    <w:rsid w:val="002F5722"/>
    <w:rsid w:val="00305F24"/>
    <w:rsid w:val="00307DB8"/>
    <w:rsid w:val="00316E17"/>
    <w:rsid w:val="00340596"/>
    <w:rsid w:val="003522D5"/>
    <w:rsid w:val="003D5A99"/>
    <w:rsid w:val="0040498E"/>
    <w:rsid w:val="004172E0"/>
    <w:rsid w:val="00437332"/>
    <w:rsid w:val="00487072"/>
    <w:rsid w:val="004955B7"/>
    <w:rsid w:val="004E068A"/>
    <w:rsid w:val="004E2B24"/>
    <w:rsid w:val="005272DE"/>
    <w:rsid w:val="00542CBA"/>
    <w:rsid w:val="0055137C"/>
    <w:rsid w:val="005534E4"/>
    <w:rsid w:val="00564AD4"/>
    <w:rsid w:val="00572303"/>
    <w:rsid w:val="0057541A"/>
    <w:rsid w:val="005C5B67"/>
    <w:rsid w:val="005C6828"/>
    <w:rsid w:val="005D5923"/>
    <w:rsid w:val="00600757"/>
    <w:rsid w:val="00620DA6"/>
    <w:rsid w:val="00626F24"/>
    <w:rsid w:val="006418E5"/>
    <w:rsid w:val="00647BAE"/>
    <w:rsid w:val="00684696"/>
    <w:rsid w:val="00694627"/>
    <w:rsid w:val="006C2702"/>
    <w:rsid w:val="006C4064"/>
    <w:rsid w:val="006D40CB"/>
    <w:rsid w:val="006E11D4"/>
    <w:rsid w:val="006F0437"/>
    <w:rsid w:val="006F32A2"/>
    <w:rsid w:val="007619B1"/>
    <w:rsid w:val="00761B72"/>
    <w:rsid w:val="007657D4"/>
    <w:rsid w:val="007958EB"/>
    <w:rsid w:val="007C57C0"/>
    <w:rsid w:val="007C7B43"/>
    <w:rsid w:val="00820AA1"/>
    <w:rsid w:val="008212C8"/>
    <w:rsid w:val="00821CB9"/>
    <w:rsid w:val="00822680"/>
    <w:rsid w:val="00845D6C"/>
    <w:rsid w:val="00865F0D"/>
    <w:rsid w:val="008B78B5"/>
    <w:rsid w:val="008C2A9F"/>
    <w:rsid w:val="008C4DA7"/>
    <w:rsid w:val="008E1FFD"/>
    <w:rsid w:val="008E2566"/>
    <w:rsid w:val="008E3C84"/>
    <w:rsid w:val="008F2321"/>
    <w:rsid w:val="009421F0"/>
    <w:rsid w:val="00956518"/>
    <w:rsid w:val="0095680F"/>
    <w:rsid w:val="00964247"/>
    <w:rsid w:val="00991A6E"/>
    <w:rsid w:val="009928A9"/>
    <w:rsid w:val="00994191"/>
    <w:rsid w:val="009975C4"/>
    <w:rsid w:val="009A2924"/>
    <w:rsid w:val="009E125C"/>
    <w:rsid w:val="00A0184C"/>
    <w:rsid w:val="00A21C46"/>
    <w:rsid w:val="00A95725"/>
    <w:rsid w:val="00AB15FD"/>
    <w:rsid w:val="00AD78E6"/>
    <w:rsid w:val="00AF11F7"/>
    <w:rsid w:val="00AF1910"/>
    <w:rsid w:val="00B346F8"/>
    <w:rsid w:val="00B43F12"/>
    <w:rsid w:val="00B507A2"/>
    <w:rsid w:val="00B55A7E"/>
    <w:rsid w:val="00B605E0"/>
    <w:rsid w:val="00B62A3A"/>
    <w:rsid w:val="00B70405"/>
    <w:rsid w:val="00B74412"/>
    <w:rsid w:val="00B9238F"/>
    <w:rsid w:val="00B97CED"/>
    <w:rsid w:val="00BA246D"/>
    <w:rsid w:val="00BB09A6"/>
    <w:rsid w:val="00BE14E1"/>
    <w:rsid w:val="00BE4171"/>
    <w:rsid w:val="00C0257E"/>
    <w:rsid w:val="00C067D9"/>
    <w:rsid w:val="00C12530"/>
    <w:rsid w:val="00C20BD1"/>
    <w:rsid w:val="00C77640"/>
    <w:rsid w:val="00C821F9"/>
    <w:rsid w:val="00C97762"/>
    <w:rsid w:val="00CC3948"/>
    <w:rsid w:val="00CE30E8"/>
    <w:rsid w:val="00D1052B"/>
    <w:rsid w:val="00D43DDE"/>
    <w:rsid w:val="00D6774C"/>
    <w:rsid w:val="00D92149"/>
    <w:rsid w:val="00DA6E4D"/>
    <w:rsid w:val="00DA6EA7"/>
    <w:rsid w:val="00DC19CB"/>
    <w:rsid w:val="00DE1A6F"/>
    <w:rsid w:val="00DE38A3"/>
    <w:rsid w:val="00E0039C"/>
    <w:rsid w:val="00E14F93"/>
    <w:rsid w:val="00E26254"/>
    <w:rsid w:val="00E5768C"/>
    <w:rsid w:val="00E7186A"/>
    <w:rsid w:val="00E808F7"/>
    <w:rsid w:val="00E902CB"/>
    <w:rsid w:val="00E93B3D"/>
    <w:rsid w:val="00ED2548"/>
    <w:rsid w:val="00ED580C"/>
    <w:rsid w:val="00EE076D"/>
    <w:rsid w:val="00EE3C7C"/>
    <w:rsid w:val="00EE4F50"/>
    <w:rsid w:val="00EE7C38"/>
    <w:rsid w:val="00F15A64"/>
    <w:rsid w:val="00F22B51"/>
    <w:rsid w:val="00F25AB4"/>
    <w:rsid w:val="00F42187"/>
    <w:rsid w:val="00F4652D"/>
    <w:rsid w:val="00F5016E"/>
    <w:rsid w:val="00F609F5"/>
    <w:rsid w:val="00FA1EE8"/>
    <w:rsid w:val="00FA7FB0"/>
    <w:rsid w:val="00FB0600"/>
    <w:rsid w:val="00FD1CB8"/>
    <w:rsid w:val="00FF5504"/>
    <w:rsid w:val="023D293E"/>
    <w:rsid w:val="05235E1B"/>
    <w:rsid w:val="06D118A6"/>
    <w:rsid w:val="06DF0467"/>
    <w:rsid w:val="09FB7366"/>
    <w:rsid w:val="0B6158EF"/>
    <w:rsid w:val="0DFF319D"/>
    <w:rsid w:val="10545A22"/>
    <w:rsid w:val="1086689E"/>
    <w:rsid w:val="11390774"/>
    <w:rsid w:val="11421D1E"/>
    <w:rsid w:val="122B27B2"/>
    <w:rsid w:val="13491142"/>
    <w:rsid w:val="13C7650B"/>
    <w:rsid w:val="18FF04F5"/>
    <w:rsid w:val="198C3D31"/>
    <w:rsid w:val="1A037B71"/>
    <w:rsid w:val="1B46240B"/>
    <w:rsid w:val="1D3D12D6"/>
    <w:rsid w:val="21E85FCA"/>
    <w:rsid w:val="26026EB4"/>
    <w:rsid w:val="28812CD5"/>
    <w:rsid w:val="29037B8D"/>
    <w:rsid w:val="2B8723B0"/>
    <w:rsid w:val="2CD05FD9"/>
    <w:rsid w:val="2D0A14EA"/>
    <w:rsid w:val="32A96648"/>
    <w:rsid w:val="398E5251"/>
    <w:rsid w:val="3B0F23C2"/>
    <w:rsid w:val="3B133C60"/>
    <w:rsid w:val="40296A14"/>
    <w:rsid w:val="41D41C6F"/>
    <w:rsid w:val="42186AD5"/>
    <w:rsid w:val="4487121B"/>
    <w:rsid w:val="451707F1"/>
    <w:rsid w:val="476F0470"/>
    <w:rsid w:val="47857C94"/>
    <w:rsid w:val="49470F79"/>
    <w:rsid w:val="494F67AB"/>
    <w:rsid w:val="49D92519"/>
    <w:rsid w:val="4B022328"/>
    <w:rsid w:val="4CCC3C6F"/>
    <w:rsid w:val="4D7367E0"/>
    <w:rsid w:val="4D956757"/>
    <w:rsid w:val="4DD4267A"/>
    <w:rsid w:val="4FA7451F"/>
    <w:rsid w:val="559A7D12"/>
    <w:rsid w:val="58346B6C"/>
    <w:rsid w:val="5B745BFD"/>
    <w:rsid w:val="5BB95D06"/>
    <w:rsid w:val="5C966047"/>
    <w:rsid w:val="5DDD2180"/>
    <w:rsid w:val="5DE51034"/>
    <w:rsid w:val="60040B99"/>
    <w:rsid w:val="608C39E9"/>
    <w:rsid w:val="60AC5E39"/>
    <w:rsid w:val="61AC3499"/>
    <w:rsid w:val="61BA6334"/>
    <w:rsid w:val="624A3B5C"/>
    <w:rsid w:val="625917E8"/>
    <w:rsid w:val="649A0F78"/>
    <w:rsid w:val="66C82E05"/>
    <w:rsid w:val="67980EC5"/>
    <w:rsid w:val="68EC771B"/>
    <w:rsid w:val="6A395119"/>
    <w:rsid w:val="6A935974"/>
    <w:rsid w:val="6BE309CF"/>
    <w:rsid w:val="6D194857"/>
    <w:rsid w:val="714A1482"/>
    <w:rsid w:val="74454183"/>
    <w:rsid w:val="76CC293A"/>
    <w:rsid w:val="77422BFC"/>
    <w:rsid w:val="778D031B"/>
    <w:rsid w:val="77F4039A"/>
    <w:rsid w:val="7BB8348D"/>
    <w:rsid w:val="7C613B24"/>
    <w:rsid w:val="7CFD384D"/>
    <w:rsid w:val="7D6E64F9"/>
    <w:rsid w:val="7E28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semiHidden/>
    <w:unhideWhenUsed/>
    <w:qFormat/>
    <w:uiPriority w:val="99"/>
    <w:rPr>
      <w:color w:val="800080"/>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customStyle="1" w:styleId="11">
    <w:name w:val="页脚 字符"/>
    <w:basedOn w:val="6"/>
    <w:link w:val="3"/>
    <w:qFormat/>
    <w:uiPriority w:val="99"/>
    <w:rPr>
      <w:rFonts w:ascii="Times New Roman" w:hAnsi="Times New Roman" w:eastAsia="宋体" w:cs="Times New Roman"/>
      <w:sz w:val="18"/>
      <w:szCs w:val="18"/>
    </w:rPr>
  </w:style>
  <w:style w:type="paragraph" w:customStyle="1" w:styleId="12">
    <w:name w:val="005正文"/>
    <w:basedOn w:val="1"/>
    <w:link w:val="13"/>
    <w:qFormat/>
    <w:uiPriority w:val="0"/>
    <w:pPr>
      <w:spacing w:before="50" w:beforeLines="50" w:line="360" w:lineRule="auto"/>
      <w:ind w:firstLine="200" w:firstLineChars="200"/>
    </w:pPr>
    <w:rPr>
      <w:sz w:val="24"/>
      <w:szCs w:val="22"/>
    </w:rPr>
  </w:style>
  <w:style w:type="character" w:customStyle="1" w:styleId="13">
    <w:name w:val="005正文 Char"/>
    <w:link w:val="12"/>
    <w:qFormat/>
    <w:uiPriority w:val="0"/>
    <w:rPr>
      <w:rFonts w:ascii="Times New Roman" w:hAnsi="Times New Roman" w:eastAsia="宋体" w:cs="Times New Roman"/>
      <w:sz w:val="24"/>
    </w:rPr>
  </w:style>
  <w:style w:type="character" w:customStyle="1" w:styleId="14">
    <w:name w:val="页眉 字符"/>
    <w:basedOn w:val="6"/>
    <w:link w:val="4"/>
    <w:qFormat/>
    <w:uiPriority w:val="99"/>
    <w:rPr>
      <w:rFonts w:ascii="Times New Roman" w:hAnsi="Times New Roman" w:eastAsia="宋体" w:cs="Times New Roman"/>
      <w:sz w:val="18"/>
      <w:szCs w:val="18"/>
    </w:rPr>
  </w:style>
  <w:style w:type="character" w:customStyle="1" w:styleId="15">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9420-DF24-41F9-B370-2BC91F73969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2996</Words>
  <Characters>3427</Characters>
  <Lines>15</Lines>
  <Paragraphs>4</Paragraphs>
  <TotalTime>5</TotalTime>
  <ScaleCrop>false</ScaleCrop>
  <LinksUpToDate>false</LinksUpToDate>
  <CharactersWithSpaces>3548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2021-11-15T10:36:00Z</dcterms:created>
  <dc:creator>gxc</dc:creator>
  <cp:lastModifiedBy>姚琰</cp:lastModifiedBy>
  <cp:lastPrinted>2024-09-12T07:23:00Z</cp:lastPrinted>
  <dcterms:modified xsi:type="dcterms:W3CDTF">2025-05-16T10:44:56Z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EA9EF562CA124855A2B45FE2B893801A_12</vt:lpwstr>
  </property>
  <property fmtid="{D5CDD505-2E9C-101B-9397-08002B2CF9AE}" pid="4" name="KSOTemplateDocerSaveRecord">
    <vt:lpwstr>eyJoZGlkIjoiYjQ3ZDRkNDAzYThiMjNjNjg0ZWMwMjhmZWNkNzNhNTEiLCJ1c2VySWQiOiIxNDg5OTEzMDY2In0=</vt:lpwstr>
  </property>
</Properties>
</file>