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BFA7A5">
      <w:pPr>
        <w:autoSpaceDE w:val="0"/>
        <w:autoSpaceDN w:val="0"/>
        <w:adjustRightInd w:val="0"/>
        <w:snapToGrid w:val="0"/>
        <w:spacing w:line="288" w:lineRule="auto"/>
        <w:rPr>
          <w:rFonts w:ascii="宋体" w:hAnsi="宋体" w:cs="宋体"/>
          <w:kern w:val="0"/>
          <w:sz w:val="28"/>
          <w:szCs w:val="28"/>
          <w:lang w:val="zh-CN" w:bidi="zh-CN"/>
        </w:rPr>
      </w:pPr>
      <w:r>
        <w:rPr>
          <w:rFonts w:hint="eastAsia" w:ascii="宋体" w:hAnsi="宋体" w:cs="宋体"/>
          <w:kern w:val="0"/>
          <w:sz w:val="28"/>
          <w:szCs w:val="28"/>
          <w:lang w:val="zh-CN" w:bidi="zh-CN"/>
        </w:rPr>
        <w:t>证券代码：60</w:t>
      </w:r>
      <w:r>
        <w:rPr>
          <w:rFonts w:hint="eastAsia" w:ascii="宋体" w:hAnsi="宋体" w:cs="宋体"/>
          <w:kern w:val="0"/>
          <w:sz w:val="28"/>
          <w:szCs w:val="28"/>
          <w:lang w:val="en-US" w:bidi="zh-CN"/>
        </w:rPr>
        <w:t>1065</w:t>
      </w:r>
      <w:r>
        <w:rPr>
          <w:rFonts w:hint="eastAsia" w:ascii="宋体" w:hAnsi="宋体" w:cs="宋体"/>
          <w:kern w:val="0"/>
          <w:sz w:val="28"/>
          <w:szCs w:val="28"/>
          <w:lang w:val="zh-CN" w:bidi="zh-CN"/>
        </w:rPr>
        <w:t xml:space="preserve">                         证券简称：</w:t>
      </w:r>
      <w:r>
        <w:rPr>
          <w:rFonts w:hint="eastAsia" w:ascii="宋体" w:hAnsi="宋体" w:cs="宋体"/>
          <w:kern w:val="0"/>
          <w:sz w:val="28"/>
          <w:szCs w:val="28"/>
          <w:lang w:val="en-US" w:bidi="zh-CN"/>
        </w:rPr>
        <w:t>江盐</w:t>
      </w:r>
      <w:r>
        <w:rPr>
          <w:rFonts w:hint="eastAsia" w:ascii="宋体" w:hAnsi="宋体" w:cs="宋体"/>
          <w:kern w:val="0"/>
          <w:sz w:val="28"/>
          <w:szCs w:val="28"/>
          <w:lang w:val="zh-CN" w:bidi="zh-CN"/>
        </w:rPr>
        <w:t>集团</w:t>
      </w:r>
    </w:p>
    <w:p w14:paraId="4DBFA63B">
      <w:pPr>
        <w:adjustRightInd w:val="0"/>
        <w:snapToGrid w:val="0"/>
        <w:spacing w:before="312" w:beforeLines="100" w:line="480" w:lineRule="exact"/>
        <w:jc w:val="center"/>
        <w:rPr>
          <w:rFonts w:ascii="黑体" w:hAnsi="黑体" w:eastAsia="黑体"/>
          <w:b/>
          <w:bCs/>
          <w:color w:val="FF0000"/>
          <w:sz w:val="32"/>
          <w:szCs w:val="36"/>
        </w:rPr>
      </w:pPr>
      <w:r>
        <w:rPr>
          <w:rFonts w:hint="eastAsia" w:ascii="黑体" w:hAnsi="黑体" w:eastAsia="黑体"/>
          <w:b/>
          <w:bCs/>
          <w:color w:val="FF0000"/>
          <w:sz w:val="32"/>
          <w:szCs w:val="36"/>
        </w:rPr>
        <w:t>江西</w:t>
      </w:r>
      <w:r>
        <w:rPr>
          <w:rFonts w:hint="eastAsia" w:ascii="黑体" w:hAnsi="黑体" w:eastAsia="黑体"/>
          <w:b/>
          <w:bCs/>
          <w:color w:val="FF0000"/>
          <w:sz w:val="32"/>
          <w:szCs w:val="36"/>
          <w:lang w:val="en-US" w:eastAsia="zh-CN"/>
        </w:rPr>
        <w:t>省盐业集团</w:t>
      </w:r>
      <w:r>
        <w:rPr>
          <w:rFonts w:hint="eastAsia" w:ascii="黑体" w:hAnsi="黑体" w:eastAsia="黑体"/>
          <w:b/>
          <w:bCs/>
          <w:color w:val="FF0000"/>
          <w:sz w:val="32"/>
          <w:szCs w:val="36"/>
        </w:rPr>
        <w:t>股份有限公司</w:t>
      </w:r>
    </w:p>
    <w:p w14:paraId="0C6CFF74">
      <w:pPr>
        <w:adjustRightInd w:val="0"/>
        <w:snapToGrid w:val="0"/>
        <w:spacing w:before="156" w:beforeLines="50" w:after="156" w:afterLines="50" w:line="480" w:lineRule="exact"/>
        <w:jc w:val="center"/>
        <w:rPr>
          <w:rFonts w:ascii="等线" w:hAnsi="等线"/>
          <w:b/>
          <w:bCs/>
          <w:color w:val="FF0000"/>
          <w:sz w:val="32"/>
          <w:szCs w:val="36"/>
        </w:rPr>
      </w:pPr>
      <w:r>
        <w:rPr>
          <w:rFonts w:hint="eastAsia" w:ascii="黑体" w:hAnsi="黑体" w:eastAsia="黑体"/>
          <w:b/>
          <w:bCs/>
          <w:color w:val="FF0000"/>
          <w:sz w:val="32"/>
          <w:szCs w:val="36"/>
        </w:rPr>
        <w:t>投资者关系活动记录表</w:t>
      </w:r>
    </w:p>
    <w:p w14:paraId="54DFECDA">
      <w:pPr>
        <w:jc w:val="right"/>
        <w:rPr>
          <w:rFonts w:hint="default" w:ascii="宋体" w:hAnsi="宋体" w:eastAsia="宋体"/>
          <w:lang w:val="en-US" w:eastAsia="zh-CN"/>
        </w:rPr>
      </w:pPr>
      <w:r>
        <w:rPr>
          <w:rFonts w:hint="eastAsia" w:ascii="宋体" w:hAnsi="宋体"/>
        </w:rPr>
        <w:t>编号：202</w:t>
      </w:r>
      <w:r>
        <w:rPr>
          <w:rFonts w:hint="eastAsia" w:ascii="宋体" w:hAnsi="宋体"/>
          <w:lang w:val="en-US" w:eastAsia="zh-CN"/>
        </w:rPr>
        <w:t>5</w:t>
      </w:r>
      <w:r>
        <w:rPr>
          <w:rFonts w:hint="eastAsia" w:ascii="宋体" w:hAnsi="宋体"/>
        </w:rPr>
        <w:t>-</w:t>
      </w:r>
      <w:r>
        <w:rPr>
          <w:rFonts w:hint="default" w:ascii="宋体" w:hAnsi="宋体"/>
          <w:lang w:val="en-US" w:eastAsia="zh-CN"/>
        </w:rPr>
        <w:t>00</w:t>
      </w:r>
      <w:r>
        <w:rPr>
          <w:rFonts w:hint="eastAsia" w:ascii="宋体" w:hAnsi="宋体"/>
          <w:lang w:val="en-US" w:eastAsia="zh-CN"/>
        </w:rPr>
        <w:t>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4740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526" w:type="dxa"/>
            <w:vAlign w:val="center"/>
          </w:tcPr>
          <w:p w14:paraId="3851AAC9">
            <w:pPr>
              <w:pStyle w:val="23"/>
              <w:adjustRightInd w:val="0"/>
              <w:snapToGrid w:val="0"/>
              <w:spacing w:line="480" w:lineRule="atLeast"/>
              <w:rPr>
                <w:b/>
                <w:bCs/>
                <w:iCs/>
                <w:sz w:val="24"/>
              </w:rPr>
            </w:pPr>
            <w:r>
              <w:rPr>
                <w:b/>
                <w:bCs/>
                <w:iCs/>
                <w:sz w:val="24"/>
              </w:rPr>
              <w:t>投资者关系活动类别</w:t>
            </w:r>
          </w:p>
        </w:tc>
        <w:tc>
          <w:tcPr>
            <w:tcW w:w="6996" w:type="dxa"/>
            <w:vAlign w:val="center"/>
          </w:tcPr>
          <w:p w14:paraId="513239C3">
            <w:pPr>
              <w:adjustRightInd w:val="0"/>
              <w:snapToGrid w:val="0"/>
              <w:spacing w:line="440" w:lineRule="exact"/>
              <w:rPr>
                <w:bCs/>
                <w:iCs/>
                <w:sz w:val="24"/>
                <w:szCs w:val="24"/>
              </w:rPr>
            </w:pPr>
            <w:r>
              <w:rPr>
                <w:bCs/>
                <w:iCs/>
                <w:sz w:val="24"/>
                <w:szCs w:val="24"/>
              </w:rPr>
              <w:sym w:font="Wingdings 2" w:char="00A3"/>
            </w:r>
            <w:r>
              <w:rPr>
                <w:sz w:val="24"/>
                <w:szCs w:val="24"/>
              </w:rPr>
              <w:t xml:space="preserve">特定对象调研       </w:t>
            </w:r>
            <w:r>
              <w:rPr>
                <w:bCs/>
                <w:iCs/>
                <w:sz w:val="24"/>
                <w:szCs w:val="24"/>
              </w:rPr>
              <w:sym w:font="Wingdings 2" w:char="00A3"/>
            </w:r>
            <w:r>
              <w:rPr>
                <w:sz w:val="24"/>
                <w:szCs w:val="24"/>
              </w:rPr>
              <w:t>分析师会议</w:t>
            </w:r>
          </w:p>
          <w:p w14:paraId="5234174A">
            <w:pPr>
              <w:pStyle w:val="23"/>
              <w:adjustRightInd w:val="0"/>
              <w:snapToGrid w:val="0"/>
              <w:spacing w:line="440" w:lineRule="exact"/>
              <w:rPr>
                <w:bCs/>
                <w:iCs/>
                <w:sz w:val="24"/>
              </w:rPr>
            </w:pPr>
            <w:r>
              <w:rPr>
                <w:bCs/>
                <w:iCs/>
                <w:sz w:val="24"/>
                <w:szCs w:val="24"/>
              </w:rPr>
              <w:sym w:font="Wingdings 2" w:char="00A3"/>
            </w:r>
            <w:r>
              <w:rPr>
                <w:sz w:val="24"/>
              </w:rPr>
              <w:t xml:space="preserve">媒体采访           </w:t>
            </w:r>
            <w:r>
              <w:rPr>
                <w:bCs/>
                <w:iCs/>
                <w:sz w:val="24"/>
                <w:szCs w:val="24"/>
              </w:rPr>
              <w:sym w:font="Wingdings 2" w:char="0052"/>
            </w:r>
            <w:r>
              <w:rPr>
                <w:sz w:val="24"/>
              </w:rPr>
              <w:t>业绩说明会</w:t>
            </w:r>
          </w:p>
          <w:p w14:paraId="786AF7F8">
            <w:pPr>
              <w:pStyle w:val="23"/>
              <w:adjustRightInd w:val="0"/>
              <w:snapToGrid w:val="0"/>
              <w:spacing w:line="440" w:lineRule="exact"/>
              <w:rPr>
                <w:bCs/>
                <w:iCs/>
                <w:sz w:val="24"/>
              </w:rPr>
            </w:pPr>
            <w:r>
              <w:rPr>
                <w:bCs/>
                <w:iCs/>
                <w:sz w:val="24"/>
              </w:rPr>
              <w:sym w:font="Wingdings 2" w:char="00A3"/>
            </w:r>
            <w:r>
              <w:rPr>
                <w:sz w:val="24"/>
              </w:rPr>
              <w:t xml:space="preserve">新闻发布会         </w:t>
            </w:r>
            <w:r>
              <w:rPr>
                <w:bCs/>
                <w:iCs/>
                <w:sz w:val="24"/>
              </w:rPr>
              <w:sym w:font="Wingdings 2" w:char="00A3"/>
            </w:r>
            <w:r>
              <w:rPr>
                <w:sz w:val="24"/>
              </w:rPr>
              <w:t>路演活动</w:t>
            </w:r>
          </w:p>
          <w:p w14:paraId="53DDBE1D">
            <w:pPr>
              <w:adjustRightInd w:val="0"/>
              <w:snapToGrid w:val="0"/>
              <w:spacing w:line="440" w:lineRule="exact"/>
              <w:rPr>
                <w:bCs/>
                <w:iCs/>
                <w:sz w:val="24"/>
                <w:szCs w:val="24"/>
              </w:rPr>
            </w:pPr>
            <w:r>
              <w:rPr>
                <w:rFonts w:hint="default"/>
                <w:sz w:val="24"/>
                <w:szCs w:val="24"/>
              </w:rPr>
              <w:sym w:font="Wingdings 2" w:char="00A3"/>
            </w:r>
            <w:r>
              <w:rPr>
                <w:sz w:val="24"/>
                <w:szCs w:val="24"/>
              </w:rPr>
              <w:t>电话会议</w:t>
            </w:r>
          </w:p>
          <w:p w14:paraId="4D323803">
            <w:pPr>
              <w:pStyle w:val="23"/>
              <w:tabs>
                <w:tab w:val="center" w:pos="3199"/>
              </w:tabs>
              <w:adjustRightInd w:val="0"/>
              <w:snapToGrid w:val="0"/>
              <w:spacing w:line="440" w:lineRule="exact"/>
              <w:rPr>
                <w:bCs/>
                <w:iCs/>
                <w:sz w:val="24"/>
                <w:u w:val="single"/>
              </w:rPr>
            </w:pPr>
            <w:r>
              <w:rPr>
                <w:bCs/>
                <w:iCs/>
                <w:sz w:val="24"/>
                <w:szCs w:val="24"/>
              </w:rPr>
              <w:sym w:font="Wingdings 2" w:char="00A3"/>
            </w:r>
            <w:r>
              <w:rPr>
                <w:sz w:val="24"/>
              </w:rPr>
              <w:t>其他</w:t>
            </w:r>
            <w:r>
              <w:rPr>
                <w:rFonts w:hint="eastAsia"/>
                <w:sz w:val="24"/>
                <w:u w:val="single"/>
              </w:rPr>
              <w:t xml:space="preserve">           </w:t>
            </w:r>
          </w:p>
        </w:tc>
      </w:tr>
      <w:tr w14:paraId="53DB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vAlign w:val="center"/>
          </w:tcPr>
          <w:p w14:paraId="3D7F96FA">
            <w:pPr>
              <w:pStyle w:val="23"/>
              <w:adjustRightInd w:val="0"/>
              <w:snapToGrid w:val="0"/>
              <w:spacing w:line="480" w:lineRule="atLeast"/>
              <w:rPr>
                <w:b/>
                <w:bCs/>
                <w:iCs/>
                <w:sz w:val="24"/>
              </w:rPr>
            </w:pPr>
            <w:r>
              <w:rPr>
                <w:b/>
                <w:bCs/>
                <w:iCs/>
                <w:sz w:val="24"/>
              </w:rPr>
              <w:t>参与单位名称及人员姓名</w:t>
            </w:r>
          </w:p>
        </w:tc>
        <w:tc>
          <w:tcPr>
            <w:tcW w:w="6996" w:type="dxa"/>
            <w:vAlign w:val="center"/>
          </w:tcPr>
          <w:p w14:paraId="6949A6A8">
            <w:pPr>
              <w:spacing w:line="360" w:lineRule="auto"/>
              <w:textAlignment w:val="baseline"/>
              <w:rPr>
                <w:rFonts w:ascii="Times New Roman" w:hAnsi="Times New Roman"/>
                <w:sz w:val="24"/>
                <w:szCs w:val="24"/>
              </w:rPr>
            </w:pPr>
            <w:r>
              <w:rPr>
                <w:rFonts w:hint="eastAsia" w:ascii="Times New Roman" w:hAnsi="Times New Roman"/>
                <w:sz w:val="24"/>
                <w:szCs w:val="24"/>
              </w:rPr>
              <w:t>线上参与江盐集团（601065）2024年度暨2025年第一季度业绩说明会的全体投资者</w:t>
            </w:r>
          </w:p>
        </w:tc>
      </w:tr>
      <w:tr w14:paraId="635C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6" w:type="dxa"/>
            <w:vAlign w:val="center"/>
          </w:tcPr>
          <w:p w14:paraId="3CB980E3">
            <w:pPr>
              <w:pStyle w:val="23"/>
              <w:adjustRightInd w:val="0"/>
              <w:snapToGrid w:val="0"/>
              <w:spacing w:line="480" w:lineRule="atLeast"/>
              <w:rPr>
                <w:b/>
                <w:bCs/>
                <w:iCs/>
                <w:sz w:val="24"/>
              </w:rPr>
            </w:pPr>
            <w:r>
              <w:rPr>
                <w:b/>
                <w:bCs/>
                <w:iCs/>
                <w:sz w:val="24"/>
              </w:rPr>
              <w:t>时间</w:t>
            </w:r>
          </w:p>
        </w:tc>
        <w:tc>
          <w:tcPr>
            <w:tcW w:w="6996" w:type="dxa"/>
            <w:vAlign w:val="center"/>
          </w:tcPr>
          <w:p w14:paraId="4887A562">
            <w:pPr>
              <w:pStyle w:val="23"/>
              <w:adjustRightInd w:val="0"/>
              <w:snapToGrid w:val="0"/>
              <w:spacing w:line="440" w:lineRule="exact"/>
              <w:rPr>
                <w:rFonts w:hint="default" w:ascii="宋体" w:hAnsi="宋体" w:eastAsia="宋体"/>
                <w:bCs/>
                <w:iCs/>
                <w:sz w:val="24"/>
                <w:lang w:val="en-US" w:eastAsia="zh-CN"/>
              </w:rPr>
            </w:pPr>
            <w:r>
              <w:rPr>
                <w:rFonts w:hint="eastAsia" w:ascii="宋体" w:hAnsi="宋体"/>
                <w:bCs/>
                <w:iCs/>
                <w:sz w:val="24"/>
                <w:lang w:val="en-US" w:eastAsia="zh-CN"/>
              </w:rPr>
              <w:t>2025年5月19日 15:00-16:00</w:t>
            </w:r>
          </w:p>
        </w:tc>
      </w:tr>
      <w:tr w14:paraId="6B2B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54ABB374">
            <w:pPr>
              <w:pStyle w:val="23"/>
              <w:adjustRightInd w:val="0"/>
              <w:snapToGrid w:val="0"/>
              <w:spacing w:line="480" w:lineRule="atLeast"/>
              <w:rPr>
                <w:b/>
                <w:bCs/>
                <w:iCs/>
                <w:sz w:val="24"/>
              </w:rPr>
            </w:pPr>
            <w:r>
              <w:rPr>
                <w:b/>
                <w:bCs/>
                <w:iCs/>
                <w:sz w:val="24"/>
              </w:rPr>
              <w:t>地点</w:t>
            </w:r>
          </w:p>
        </w:tc>
        <w:tc>
          <w:tcPr>
            <w:tcW w:w="6996" w:type="dxa"/>
            <w:vAlign w:val="center"/>
          </w:tcPr>
          <w:p w14:paraId="22427208">
            <w:pPr>
              <w:pStyle w:val="23"/>
              <w:adjustRightInd w:val="0"/>
              <w:snapToGrid w:val="0"/>
              <w:spacing w:line="440" w:lineRule="exact"/>
              <w:jc w:val="left"/>
              <w:rPr>
                <w:rFonts w:hint="eastAsia" w:ascii="宋体" w:hAnsi="宋体" w:eastAsia="宋体"/>
                <w:bCs/>
                <w:iCs/>
                <w:sz w:val="24"/>
                <w:lang w:eastAsia="zh-CN"/>
              </w:rPr>
            </w:pPr>
            <w:r>
              <w:rPr>
                <w:rFonts w:hint="eastAsia" w:ascii="宋体" w:hAnsi="宋体"/>
                <w:bCs/>
                <w:iCs/>
                <w:sz w:val="24"/>
                <w:lang w:eastAsia="zh-CN"/>
              </w:rPr>
              <w:t>价值在线（https://www.ir-online.cn/）网络互动</w:t>
            </w:r>
          </w:p>
        </w:tc>
      </w:tr>
      <w:tr w14:paraId="77D7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526" w:type="dxa"/>
            <w:vAlign w:val="center"/>
          </w:tcPr>
          <w:p w14:paraId="4525A889">
            <w:pPr>
              <w:pStyle w:val="23"/>
              <w:adjustRightInd w:val="0"/>
              <w:snapToGrid w:val="0"/>
              <w:spacing w:line="480" w:lineRule="atLeast"/>
              <w:rPr>
                <w:b/>
                <w:bCs/>
                <w:iCs/>
                <w:sz w:val="24"/>
              </w:rPr>
            </w:pPr>
            <w:r>
              <w:rPr>
                <w:b/>
                <w:bCs/>
                <w:iCs/>
                <w:sz w:val="24"/>
              </w:rPr>
              <w:t>上市公司接待人员</w:t>
            </w:r>
          </w:p>
        </w:tc>
        <w:tc>
          <w:tcPr>
            <w:tcW w:w="6996" w:type="dxa"/>
            <w:vAlign w:val="center"/>
          </w:tcPr>
          <w:p w14:paraId="1453B2F3">
            <w:pPr>
              <w:adjustRightInd w:val="0"/>
              <w:snapToGrid w:val="0"/>
              <w:spacing w:line="440" w:lineRule="exact"/>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董事长胡世平、独立董事谢海东、副总经理任雁飞、证券事务代表张露</w:t>
            </w:r>
          </w:p>
        </w:tc>
      </w:tr>
      <w:tr w14:paraId="4E4D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26" w:type="dxa"/>
            <w:vAlign w:val="center"/>
          </w:tcPr>
          <w:p w14:paraId="1F2AFC4E">
            <w:pPr>
              <w:pStyle w:val="23"/>
              <w:adjustRightInd w:val="0"/>
              <w:snapToGrid w:val="0"/>
              <w:spacing w:line="480" w:lineRule="atLeast"/>
              <w:rPr>
                <w:b/>
                <w:bCs/>
                <w:iCs/>
                <w:sz w:val="24"/>
              </w:rPr>
            </w:pPr>
            <w:r>
              <w:rPr>
                <w:rFonts w:hint="eastAsia"/>
                <w:b/>
                <w:bCs/>
                <w:iCs/>
                <w:sz w:val="24"/>
              </w:rPr>
              <w:t>投资者关系活动主要内容介绍</w:t>
            </w:r>
          </w:p>
        </w:tc>
        <w:tc>
          <w:tcPr>
            <w:tcW w:w="6996" w:type="dxa"/>
          </w:tcPr>
          <w:p w14:paraId="40F257ED">
            <w:pPr>
              <w:snapToGrid w:val="0"/>
              <w:spacing w:line="360" w:lineRule="auto"/>
              <w:ind w:firstLine="480"/>
              <w:textAlignment w:val="baseline"/>
              <w:rPr>
                <w:rFonts w:hint="eastAsia" w:ascii="宋体" w:hAnsi="宋体"/>
                <w:b/>
                <w:bCs/>
                <w:sz w:val="24"/>
                <w:szCs w:val="24"/>
                <w:lang w:val="en-US" w:eastAsia="zh-CN"/>
              </w:rPr>
            </w:pPr>
            <w:r>
              <w:rPr>
                <w:rFonts w:hint="eastAsia" w:cs="Calibri"/>
                <w:b/>
                <w:bCs/>
                <w:sz w:val="24"/>
                <w:szCs w:val="24"/>
                <w:lang w:val="en-US" w:eastAsia="zh-CN"/>
              </w:rPr>
              <w:t>1.</w:t>
            </w:r>
            <w:bookmarkStart w:id="0" w:name="_GoBack"/>
            <w:bookmarkEnd w:id="0"/>
            <w:r>
              <w:rPr>
                <w:rFonts w:hint="default" w:ascii="Calibri" w:hAnsi="Calibri" w:cs="Calibri"/>
                <w:b/>
                <w:bCs/>
                <w:sz w:val="24"/>
                <w:szCs w:val="24"/>
                <w:lang w:val="en-US" w:eastAsia="zh-CN"/>
              </w:rPr>
              <w:t>①</w:t>
            </w:r>
            <w:r>
              <w:rPr>
                <w:rFonts w:hint="eastAsia" w:ascii="宋体" w:hAnsi="宋体"/>
                <w:b/>
                <w:bCs/>
                <w:sz w:val="24"/>
                <w:szCs w:val="24"/>
                <w:lang w:val="en-US" w:eastAsia="zh-CN"/>
              </w:rPr>
              <w:t>根据行业周期性，请公司分享一下未来两年盐及纯碱价格走势情况。</w:t>
            </w:r>
            <w:r>
              <w:rPr>
                <w:rFonts w:hint="default" w:ascii="Calibri" w:hAnsi="Calibri" w:cs="Calibri"/>
                <w:b/>
                <w:bCs/>
                <w:sz w:val="24"/>
                <w:szCs w:val="24"/>
                <w:lang w:val="en-US" w:eastAsia="zh-CN"/>
              </w:rPr>
              <w:t>②</w:t>
            </w:r>
            <w:r>
              <w:rPr>
                <w:rFonts w:hint="eastAsia" w:ascii="宋体" w:hAnsi="宋体"/>
                <w:b/>
                <w:bCs/>
                <w:sz w:val="24"/>
                <w:szCs w:val="24"/>
                <w:lang w:val="en-US" w:eastAsia="zh-CN"/>
              </w:rPr>
              <w:t>公司盐穴储能及卤水提锂项目进展情况。</w:t>
            </w:r>
          </w:p>
          <w:p w14:paraId="6C9EFF38">
            <w:pPr>
              <w:snapToGrid w:val="0"/>
              <w:spacing w:line="360" w:lineRule="auto"/>
              <w:ind w:firstLine="480"/>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答:尊敬的投资者您好，公司纯碱价格随行就市，具体价格会根据市场供需及行情等因素调整。食用盐价格主要受市场需求、季节性、同行业竞争、物流影响；工业盐价格主要受两碱化工市场需求、同行业竞争、物流影响。 盐穴储能的相关工作正在推进，公司已完成现有盐穴资源测腔等前期技术可行性论证，盐穴储能和卤水提锂等项目具体进展情况请关注公司定期报告。 感谢您对公司的关注。</w:t>
            </w:r>
          </w:p>
          <w:p w14:paraId="172C35CF">
            <w:pPr>
              <w:snapToGrid w:val="0"/>
              <w:spacing w:line="360" w:lineRule="auto"/>
              <w:ind w:firstLine="480"/>
              <w:textAlignment w:val="baseline"/>
              <w:rPr>
                <w:rFonts w:hint="eastAsia" w:ascii="宋体" w:hAnsi="宋体"/>
                <w:b/>
                <w:bCs/>
                <w:sz w:val="24"/>
                <w:szCs w:val="24"/>
                <w:lang w:val="en-US" w:eastAsia="zh-CN"/>
              </w:rPr>
            </w:pPr>
            <w:r>
              <w:rPr>
                <w:rFonts w:hint="eastAsia" w:ascii="宋体" w:hAnsi="宋体"/>
                <w:b/>
                <w:bCs/>
                <w:sz w:val="24"/>
                <w:szCs w:val="24"/>
                <w:lang w:val="en-US" w:eastAsia="zh-CN"/>
              </w:rPr>
              <w:t>2.公司打算什么时候分红？</w:t>
            </w:r>
          </w:p>
          <w:p w14:paraId="3DBA0942">
            <w:pPr>
              <w:snapToGrid w:val="0"/>
              <w:spacing w:line="360" w:lineRule="auto"/>
              <w:ind w:firstLine="480"/>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答:尊敬的投资者，您好。公司2024年度利润分配方案将在2024年度股东大会审议通过后及时实施，届时会对相关权益分派实施情况进行公告。感谢您的关注。</w:t>
            </w:r>
          </w:p>
          <w:p w14:paraId="2B6EB6BE">
            <w:pPr>
              <w:numPr>
                <w:ilvl w:val="0"/>
                <w:numId w:val="0"/>
              </w:numPr>
              <w:snapToGrid w:val="0"/>
              <w:spacing w:line="360" w:lineRule="auto"/>
              <w:ind w:firstLine="480" w:firstLineChars="0"/>
              <w:textAlignment w:val="baseline"/>
              <w:rPr>
                <w:rFonts w:hint="eastAsia" w:ascii="宋体" w:hAnsi="宋体"/>
                <w:b/>
                <w:bCs/>
                <w:sz w:val="24"/>
                <w:szCs w:val="24"/>
                <w:lang w:val="en-US" w:eastAsia="zh-CN"/>
              </w:rPr>
            </w:pPr>
            <w:r>
              <w:rPr>
                <w:rFonts w:hint="eastAsia" w:ascii="宋体" w:hAnsi="宋体" w:eastAsia="宋体" w:cs="Times New Roman"/>
                <w:b/>
                <w:bCs/>
                <w:kern w:val="2"/>
                <w:sz w:val="24"/>
                <w:szCs w:val="24"/>
                <w:lang w:val="en-US" w:eastAsia="zh-CN" w:bidi="ar-SA"/>
              </w:rPr>
              <w:t>3.</w:t>
            </w:r>
            <w:r>
              <w:rPr>
                <w:rFonts w:hint="eastAsia" w:ascii="宋体" w:hAnsi="宋体"/>
                <w:b/>
                <w:bCs/>
                <w:sz w:val="24"/>
                <w:szCs w:val="24"/>
                <w:lang w:val="en-US" w:eastAsia="zh-CN"/>
              </w:rPr>
              <w:t>公司产品出口情况怎么样？受美国关税政策影响大吗？</w:t>
            </w:r>
          </w:p>
          <w:p w14:paraId="734AC1F6">
            <w:pPr>
              <w:numPr>
                <w:ilvl w:val="0"/>
                <w:numId w:val="0"/>
              </w:numPr>
              <w:snapToGrid w:val="0"/>
              <w:spacing w:line="360" w:lineRule="auto"/>
              <w:ind w:firstLine="480" w:firstLineChars="0"/>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答:尊敬的投资者，您好。公司产品远销英国、沙特、新西兰、阿联酋及东南亚等国家和地区，暂无出口至美国的业务。2024年度，公司完成各类产品出口45.7万吨，同比增长23.9%，其中食盐出口量连续多年在全国食盐出口总量占比超过30%，保持行业领先地位。感谢您的关注。</w:t>
            </w:r>
          </w:p>
          <w:p w14:paraId="0B725F89">
            <w:pPr>
              <w:snapToGrid w:val="0"/>
              <w:spacing w:line="360" w:lineRule="auto"/>
              <w:ind w:firstLine="480"/>
              <w:textAlignment w:val="baseline"/>
              <w:rPr>
                <w:rFonts w:hint="eastAsia" w:ascii="宋体" w:hAnsi="宋体"/>
                <w:b/>
                <w:bCs/>
                <w:sz w:val="24"/>
                <w:szCs w:val="24"/>
                <w:lang w:val="en-US" w:eastAsia="zh-CN"/>
              </w:rPr>
            </w:pPr>
            <w:r>
              <w:rPr>
                <w:rFonts w:hint="eastAsia" w:ascii="宋体" w:hAnsi="宋体"/>
                <w:b/>
                <w:bCs/>
                <w:sz w:val="24"/>
                <w:szCs w:val="24"/>
                <w:lang w:val="en-US" w:eastAsia="zh-CN"/>
              </w:rPr>
              <w:t>4.看到报道称公司在做横向一体化，请问实施情况怎么样？</w:t>
            </w:r>
          </w:p>
          <w:p w14:paraId="19FAE679">
            <w:pPr>
              <w:snapToGrid w:val="0"/>
              <w:spacing w:line="360" w:lineRule="auto"/>
              <w:ind w:firstLine="480"/>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答:尊敬的投资者，您好。为做大做强盐产品业务板块，打通盐产品产销研全链条瓶颈、加速产销融合，公司坚定实施“横向一体化”战略部署，将权属企业江西省江盐华康实业有限公司与江西富达盐化有限公司在管理上进行合并，于2024年8月底正式挂牌成立盐品事业部。感谢您的关注。</w:t>
            </w:r>
          </w:p>
          <w:p w14:paraId="3D45C638">
            <w:pPr>
              <w:snapToGrid w:val="0"/>
              <w:spacing w:line="360" w:lineRule="auto"/>
              <w:ind w:firstLine="480"/>
              <w:textAlignment w:val="baseline"/>
              <w:rPr>
                <w:rFonts w:hint="eastAsia" w:ascii="宋体" w:hAnsi="宋体"/>
                <w:b/>
                <w:bCs/>
                <w:sz w:val="24"/>
                <w:szCs w:val="24"/>
                <w:lang w:val="en-US" w:eastAsia="zh-CN"/>
              </w:rPr>
            </w:pPr>
            <w:r>
              <w:rPr>
                <w:rFonts w:hint="eastAsia" w:ascii="宋体" w:hAnsi="宋体"/>
                <w:b/>
                <w:bCs/>
                <w:sz w:val="24"/>
                <w:szCs w:val="24"/>
                <w:lang w:val="en-US" w:eastAsia="zh-CN"/>
              </w:rPr>
              <w:t>5.公司业绩同比下滑，有无新的利润增长点？</w:t>
            </w:r>
          </w:p>
          <w:p w14:paraId="27D9FED8">
            <w:pPr>
              <w:snapToGrid w:val="0"/>
              <w:spacing w:line="360" w:lineRule="auto"/>
              <w:ind w:firstLine="480"/>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答:尊敬的投资者，您好。公司年产60万吨盐产品智能化改造工程于2024年中投产并实现稳产达标，樟树市盐化基地热电联产项目配套锅炉机组工程顺利点火进入试运行阶段，纯碱装置节能技改项目、100万吨MVR盐钙联产工程等项目在稳步推进，均有助于形成未来新的业绩增长点。此外，公司以盐品事业部为抓手，大力开辟盐及泛盐蓝海市场，致力打造集团效益第二增长曲线，赋能企业未来发展。2025年4月底，公司全面升级旗下“清江古海”“井冈”“善盐坊”“百仙”四大品牌产品线，面向市场推出清江古海牌生态深井盐、低钠盐（含钾代盐）、井冈牌深井盐、黑胡椒盐等8款新产品，构建起纵向覆盖中低端到高端、横向覆盖基础健康食盐到功能健康食盐的全品类食盐产品矩阵，并进一步扩大泛盐产品品类。感谢您的关注。</w:t>
            </w:r>
          </w:p>
          <w:p w14:paraId="168DB6E8">
            <w:pPr>
              <w:snapToGrid w:val="0"/>
              <w:spacing w:line="360" w:lineRule="auto"/>
              <w:ind w:firstLine="480"/>
              <w:textAlignment w:val="baseline"/>
              <w:rPr>
                <w:rFonts w:hint="eastAsia" w:ascii="宋体" w:hAnsi="宋体"/>
                <w:b/>
                <w:bCs/>
                <w:sz w:val="24"/>
                <w:szCs w:val="24"/>
                <w:lang w:val="en-US" w:eastAsia="zh-CN"/>
              </w:rPr>
            </w:pPr>
            <w:r>
              <w:rPr>
                <w:rFonts w:hint="eastAsia" w:ascii="宋体" w:hAnsi="宋体"/>
                <w:b/>
                <w:bCs/>
                <w:sz w:val="24"/>
                <w:szCs w:val="24"/>
                <w:lang w:val="en-US" w:eastAsia="zh-CN"/>
              </w:rPr>
              <w:t>6.公司一季度业绩下滑的主要原因</w:t>
            </w:r>
          </w:p>
          <w:p w14:paraId="1CFF44CD">
            <w:pPr>
              <w:snapToGrid w:val="0"/>
              <w:spacing w:line="360" w:lineRule="auto"/>
              <w:ind w:firstLine="480"/>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答:尊敬的投资者，您好。公司业绩下滑的主要原因是公司部分主营产品市场价格较上年同期出现下降，业绩变化情况符合行业发展状况。面对复杂多变的市场环境，公司将攻坚克难，全力以赴大抓落实、稳产保供、降本增效。感谢您的关注。</w:t>
            </w:r>
          </w:p>
          <w:p w14:paraId="5B2D9FF8">
            <w:pPr>
              <w:snapToGrid w:val="0"/>
              <w:spacing w:line="360" w:lineRule="auto"/>
              <w:ind w:firstLine="480"/>
              <w:textAlignment w:val="baseline"/>
              <w:rPr>
                <w:rFonts w:hint="eastAsia" w:ascii="宋体" w:hAnsi="宋体"/>
                <w:b/>
                <w:bCs/>
                <w:sz w:val="24"/>
                <w:szCs w:val="24"/>
                <w:lang w:val="en-US" w:eastAsia="zh-CN"/>
              </w:rPr>
            </w:pPr>
            <w:r>
              <w:rPr>
                <w:rFonts w:hint="eastAsia" w:ascii="宋体" w:hAnsi="宋体"/>
                <w:b/>
                <w:bCs/>
                <w:sz w:val="24"/>
                <w:szCs w:val="24"/>
                <w:lang w:val="en-US" w:eastAsia="zh-CN"/>
              </w:rPr>
              <w:t>7.请问未来盈利增长点在哪里</w:t>
            </w:r>
          </w:p>
          <w:p w14:paraId="3D68C230">
            <w:pPr>
              <w:snapToGrid w:val="0"/>
              <w:spacing w:line="360" w:lineRule="auto"/>
              <w:ind w:firstLine="480"/>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答:尊敬的投资者，您好。公司年产60万吨盐产品智能化改造工程于2024年中投产并实现稳产达标，樟树市盐化基地热电联产项目配套锅炉机组工程顺利点火进入试运行阶段，纯碱装置节能技改项目、100万吨MVR盐钙联产工程等项目在稳步推进，均有助于形成未来新的业绩增长点。此外，公司以盐品事业部为抓手，大力开辟盐及泛盐蓝海市场，致力打造集团效益第二增长曲线，赋能企业未来发展。2025年4月底，公司全面升级旗下“清江古海”“井冈”“善盐坊”“百仙”四大品牌产品线，面向市场推出清江古海牌生态深井盐、低钠盐（含钾代盐）、井冈牌深井盐、黑胡椒盐等8款新产品，构建起纵向覆盖中低端到高端、横向覆盖基础健康食盐到功能健康食盐的全品类食盐产品矩阵，并进一步扩大泛盐产品品类。感谢您的关注。</w:t>
            </w:r>
          </w:p>
          <w:p w14:paraId="641284AC">
            <w:pPr>
              <w:snapToGrid w:val="0"/>
              <w:spacing w:line="360" w:lineRule="auto"/>
              <w:ind w:firstLine="480"/>
              <w:textAlignment w:val="baseline"/>
              <w:rPr>
                <w:rFonts w:hint="eastAsia" w:ascii="宋体" w:hAnsi="宋体"/>
                <w:b/>
                <w:bCs/>
                <w:sz w:val="24"/>
                <w:szCs w:val="24"/>
                <w:lang w:val="en-US" w:eastAsia="zh-CN"/>
              </w:rPr>
            </w:pPr>
            <w:r>
              <w:rPr>
                <w:rFonts w:hint="eastAsia" w:ascii="宋体" w:hAnsi="宋体"/>
                <w:b/>
                <w:bCs/>
                <w:sz w:val="24"/>
                <w:szCs w:val="24"/>
                <w:lang w:val="en-US" w:eastAsia="zh-CN"/>
              </w:rPr>
              <w:t>8.外部环境变化较大，公司如何保持生产经营稳定？</w:t>
            </w:r>
          </w:p>
          <w:p w14:paraId="0EF2CDBB">
            <w:pPr>
              <w:snapToGrid w:val="0"/>
              <w:spacing w:line="360" w:lineRule="auto"/>
              <w:ind w:firstLine="480"/>
              <w:textAlignment w:val="baseline"/>
              <w:rPr>
                <w:rFonts w:hint="eastAsia" w:ascii="宋体" w:hAnsi="宋体"/>
                <w:b w:val="0"/>
                <w:bCs w:val="0"/>
                <w:sz w:val="24"/>
                <w:szCs w:val="24"/>
                <w:lang w:val="en-US" w:eastAsia="zh-CN"/>
              </w:rPr>
            </w:pPr>
            <w:r>
              <w:rPr>
                <w:rFonts w:hint="eastAsia" w:ascii="宋体" w:hAnsi="宋体"/>
                <w:b w:val="0"/>
                <w:bCs w:val="0"/>
                <w:sz w:val="24"/>
                <w:szCs w:val="24"/>
                <w:lang w:val="en-US" w:eastAsia="zh-CN"/>
              </w:rPr>
              <w:t>答:尊敬的投资者，您好。公司将持续深化改革、优化产业结构、强化创新创效，加快实施一批项目建设，培育新的增长点，为企业发展提供强劲动能。同时，持续加强产品创新、品牌建设与市场营销，提高品牌知名度和美誉度，扩大市场份额，提升经营质效；统筹安全与发展，确保企业生产运营安全稳态。感谢您的关注。</w:t>
            </w:r>
          </w:p>
          <w:p w14:paraId="19BD3B3E">
            <w:pPr>
              <w:snapToGrid w:val="0"/>
              <w:spacing w:line="360" w:lineRule="auto"/>
              <w:ind w:firstLine="480"/>
              <w:textAlignment w:val="baseline"/>
              <w:rPr>
                <w:rFonts w:hint="eastAsia" w:ascii="宋体" w:hAnsi="宋体"/>
                <w:b/>
                <w:bCs/>
                <w:sz w:val="24"/>
                <w:szCs w:val="24"/>
                <w:lang w:val="en-US" w:eastAsia="zh-CN"/>
              </w:rPr>
            </w:pPr>
            <w:r>
              <w:rPr>
                <w:rFonts w:hint="eastAsia" w:ascii="宋体" w:hAnsi="宋体"/>
                <w:b/>
                <w:bCs/>
                <w:sz w:val="24"/>
                <w:szCs w:val="24"/>
                <w:lang w:val="en-US" w:eastAsia="zh-CN"/>
              </w:rPr>
              <w:t>9.盐行业未来前景？</w:t>
            </w:r>
          </w:p>
          <w:p w14:paraId="4A7A8CF3">
            <w:pPr>
              <w:snapToGrid w:val="0"/>
              <w:spacing w:line="360" w:lineRule="auto"/>
              <w:ind w:firstLine="480"/>
              <w:textAlignment w:val="baseline"/>
              <w:rPr>
                <w:rFonts w:hint="default" w:ascii="宋体" w:hAnsi="宋体"/>
                <w:b w:val="0"/>
                <w:bCs w:val="0"/>
                <w:sz w:val="24"/>
                <w:szCs w:val="24"/>
                <w:lang w:val="en-US" w:eastAsia="zh-CN"/>
              </w:rPr>
            </w:pPr>
            <w:r>
              <w:rPr>
                <w:rFonts w:hint="eastAsia" w:ascii="宋体" w:hAnsi="宋体"/>
                <w:b w:val="0"/>
                <w:bCs w:val="0"/>
                <w:sz w:val="24"/>
                <w:szCs w:val="24"/>
                <w:lang w:val="en-US" w:eastAsia="zh-CN"/>
              </w:rPr>
              <w:t>答:尊敬的投资者，您好。近年来，中国盐业市场在国家政策的引导和行业结构持续调整的情况下，市场整体呈现出一定的韧性和潜力。按用途分类，盐产品可分为食盐和工业盐。食盐是人们生活的必需品，随着健康饮食观念的普及，低钠、无碘等特殊食盐产品的市场需求进一步增长，推动市场产品结构持续优化。从产品价格来看，2024年食盐批发价格同比下降，但商超终端价格保持相对稳定，利润主要集中在零售商端。这一变化使得渠道掌控能力较强的盐企具备较强的市场竞争力。工业盐作为重要原料，在制造烧碱、纯碱、盐酸、氯气等一系列基础化学品方面发挥着举足轻重的作用。其市场需求主要集中在两碱行业等下游领域，价格敏感度较高，周期性较为明显。2024年，工业盐的产量和销量均保持稳定增长态势，主要得益于下游两碱行业的需求稳定。但工业盐的价格波动较大，市场集中度相对较低。在国家“双碳”战略指引下，节能、环保等要求的提高，倒逼生产企业技术、工艺、设备的不断迭代升级，大型盐企可以通过跨区域并购重组与产业链垂直整合等方式，持续扩大规模效应，加快形成核心竞争力，行业集中度有望进一步提高。感谢您的关注。</w:t>
            </w:r>
          </w:p>
          <w:p w14:paraId="75244498">
            <w:pPr>
              <w:snapToGrid w:val="0"/>
              <w:spacing w:line="360" w:lineRule="auto"/>
              <w:ind w:firstLine="480"/>
              <w:textAlignment w:val="baseline"/>
              <w:rPr>
                <w:rFonts w:hint="eastAsia" w:ascii="宋体" w:hAnsi="宋体"/>
                <w:sz w:val="24"/>
                <w:szCs w:val="24"/>
                <w:lang w:val="en-US" w:eastAsia="zh-CN"/>
              </w:rPr>
            </w:pPr>
          </w:p>
          <w:p w14:paraId="57447E38">
            <w:pPr>
              <w:snapToGrid w:val="0"/>
              <w:spacing w:line="360" w:lineRule="auto"/>
              <w:ind w:firstLine="480"/>
              <w:textAlignment w:val="baseline"/>
              <w:rPr>
                <w:rFonts w:hint="eastAsia" w:ascii="宋体" w:hAnsi="宋体"/>
                <w:sz w:val="24"/>
                <w:szCs w:val="24"/>
                <w:lang w:val="en-US" w:eastAsia="zh-CN"/>
              </w:rPr>
            </w:pPr>
          </w:p>
          <w:p w14:paraId="70ABBC47">
            <w:pPr>
              <w:snapToGrid w:val="0"/>
              <w:spacing w:line="240" w:lineRule="auto"/>
              <w:textAlignment w:val="baseline"/>
              <w:rPr>
                <w:rFonts w:hint="default" w:ascii="宋体" w:hAnsi="宋体"/>
                <w:sz w:val="24"/>
                <w:szCs w:val="24"/>
                <w:lang w:val="en-US" w:eastAsia="zh-CN"/>
              </w:rPr>
            </w:pPr>
            <w:r>
              <w:rPr>
                <w:rFonts w:hint="eastAsia" w:ascii="宋体" w:hAnsi="宋体"/>
                <w:sz w:val="24"/>
                <w:szCs w:val="24"/>
                <w:lang w:val="en-US" w:eastAsia="zh-CN"/>
              </w:rPr>
              <w:t>（</w:t>
            </w:r>
            <w:r>
              <w:rPr>
                <w:rFonts w:hint="default" w:ascii="宋体" w:hAnsi="宋体"/>
                <w:sz w:val="24"/>
                <w:szCs w:val="24"/>
                <w:lang w:val="en-US" w:eastAsia="zh-CN"/>
              </w:rPr>
              <w:t>注：本次业绩说明会如涉及对行业的预测、公司发展战略规划等相关内容，不能视作公司或管理层对行业、公司发展或业绩的承诺和保证，敬请广大投资者注意投资风险。</w:t>
            </w:r>
            <w:r>
              <w:rPr>
                <w:rFonts w:hint="eastAsia" w:ascii="宋体" w:hAnsi="宋体"/>
                <w:sz w:val="24"/>
                <w:szCs w:val="24"/>
                <w:lang w:val="en-US" w:eastAsia="zh-CN"/>
              </w:rPr>
              <w:t>）</w:t>
            </w:r>
          </w:p>
        </w:tc>
      </w:tr>
      <w:tr w14:paraId="333C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14:paraId="72A50F8E">
            <w:pPr>
              <w:pStyle w:val="23"/>
              <w:spacing w:line="480" w:lineRule="atLeast"/>
              <w:rPr>
                <w:rFonts w:ascii="Times New Roman" w:hAnsi="Times New Roman"/>
                <w:b/>
                <w:bCs/>
                <w:iCs/>
                <w:sz w:val="24"/>
              </w:rPr>
            </w:pPr>
            <w:r>
              <w:rPr>
                <w:rFonts w:ascii="Times New Roman" w:hAnsi="Times New Roman"/>
                <w:b/>
                <w:bCs/>
                <w:iCs/>
                <w:sz w:val="24"/>
              </w:rPr>
              <w:t>附件清单</w:t>
            </w:r>
          </w:p>
        </w:tc>
        <w:tc>
          <w:tcPr>
            <w:tcW w:w="6996" w:type="dxa"/>
            <w:vAlign w:val="center"/>
          </w:tcPr>
          <w:p w14:paraId="4748854F">
            <w:pPr>
              <w:pStyle w:val="23"/>
              <w:spacing w:line="480" w:lineRule="atLeast"/>
              <w:rPr>
                <w:rFonts w:ascii="Times New Roman" w:hAnsi="Times New Roman"/>
                <w:bCs/>
                <w:iCs/>
                <w:sz w:val="24"/>
              </w:rPr>
            </w:pPr>
            <w:r>
              <w:rPr>
                <w:rFonts w:ascii="Times New Roman" w:hAnsi="Times New Roman"/>
                <w:bCs/>
                <w:iCs/>
                <w:sz w:val="24"/>
              </w:rPr>
              <w:t>无。</w:t>
            </w:r>
          </w:p>
        </w:tc>
      </w:tr>
      <w:tr w14:paraId="4F17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3FBE84F">
            <w:pPr>
              <w:pStyle w:val="23"/>
              <w:spacing w:line="480" w:lineRule="atLeast"/>
              <w:rPr>
                <w:rFonts w:ascii="Times New Roman" w:hAnsi="Times New Roman"/>
                <w:b/>
                <w:bCs/>
                <w:iCs/>
                <w:sz w:val="24"/>
              </w:rPr>
            </w:pPr>
            <w:r>
              <w:rPr>
                <w:rFonts w:ascii="Times New Roman" w:hAnsi="Times New Roman"/>
                <w:b/>
                <w:bCs/>
                <w:iCs/>
                <w:sz w:val="24"/>
              </w:rPr>
              <w:t>日期</w:t>
            </w:r>
          </w:p>
        </w:tc>
        <w:tc>
          <w:tcPr>
            <w:tcW w:w="6996" w:type="dxa"/>
            <w:vAlign w:val="center"/>
          </w:tcPr>
          <w:p w14:paraId="72C12149">
            <w:pPr>
              <w:pStyle w:val="23"/>
              <w:spacing w:line="480" w:lineRule="atLeast"/>
              <w:rPr>
                <w:rFonts w:ascii="Times New Roman" w:hAnsi="Times New Roman"/>
                <w:bCs/>
                <w:iCs/>
                <w:sz w:val="24"/>
              </w:rPr>
            </w:pPr>
            <w:r>
              <w:rPr>
                <w:rFonts w:hint="eastAsia" w:ascii="Times New Roman" w:hAnsi="Times New Roman"/>
                <w:bCs/>
                <w:iCs/>
                <w:sz w:val="24"/>
                <w:lang w:val="en-US" w:eastAsia="zh-CN"/>
              </w:rPr>
              <w:t>2025年5月19日</w:t>
            </w:r>
          </w:p>
        </w:tc>
      </w:tr>
    </w:tbl>
    <w:p w14:paraId="1A6BE088">
      <w:pPr>
        <w:rPr>
          <w:rFonts w:ascii="Times New Roman" w:hAnsi="Times New Roman"/>
          <w:sz w:val="28"/>
          <w:szCs w:val="28"/>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294211"/>
      <w:docPartObj>
        <w:docPartGallery w:val="autotext"/>
      </w:docPartObj>
    </w:sdtPr>
    <w:sdtContent>
      <w:p w14:paraId="725E9B79">
        <w:pPr>
          <w:pStyle w:val="7"/>
          <w:jc w:val="center"/>
        </w:pPr>
        <w:r>
          <w:fldChar w:fldCharType="begin"/>
        </w:r>
        <w:r>
          <w:instrText xml:space="preserve">PAGE   \* MERGEFORMAT</w:instrText>
        </w:r>
        <w:r>
          <w:fldChar w:fldCharType="separate"/>
        </w:r>
        <w:r>
          <w:rPr>
            <w:lang w:val="zh-CN"/>
          </w:rPr>
          <w:t>5</w:t>
        </w:r>
        <w:r>
          <w:fldChar w:fldCharType="end"/>
        </w:r>
      </w:p>
    </w:sdtContent>
  </w:sdt>
  <w:p w14:paraId="3642742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ZDIwZThmZWJiMDE0MGJhYjBhZDhjMDFhN2JhMTcifQ=="/>
    <w:docVar w:name="KSO_WPS_MARK_KEY" w:val="05762b01-7849-4482-a95d-6aeb1139b09a"/>
  </w:docVars>
  <w:rsids>
    <w:rsidRoot w:val="00172A27"/>
    <w:rsid w:val="000E7FD8"/>
    <w:rsid w:val="001C5BB5"/>
    <w:rsid w:val="002037D4"/>
    <w:rsid w:val="002A4B4C"/>
    <w:rsid w:val="004F05BD"/>
    <w:rsid w:val="005516FE"/>
    <w:rsid w:val="005D3B41"/>
    <w:rsid w:val="00660AD4"/>
    <w:rsid w:val="006A76EB"/>
    <w:rsid w:val="007A6170"/>
    <w:rsid w:val="00837B23"/>
    <w:rsid w:val="00BF44E6"/>
    <w:rsid w:val="00C528EC"/>
    <w:rsid w:val="00C96D4E"/>
    <w:rsid w:val="00D70E55"/>
    <w:rsid w:val="01BE6AF9"/>
    <w:rsid w:val="062E19DF"/>
    <w:rsid w:val="086C2CFF"/>
    <w:rsid w:val="0AD97127"/>
    <w:rsid w:val="0F496C81"/>
    <w:rsid w:val="0FB85531"/>
    <w:rsid w:val="11882673"/>
    <w:rsid w:val="15E962C8"/>
    <w:rsid w:val="2C8974F1"/>
    <w:rsid w:val="2DFF01B4"/>
    <w:rsid w:val="2EDB2EBB"/>
    <w:rsid w:val="326C0551"/>
    <w:rsid w:val="373C3BA7"/>
    <w:rsid w:val="38A17E9B"/>
    <w:rsid w:val="38CD681E"/>
    <w:rsid w:val="39D4375B"/>
    <w:rsid w:val="3BB3534E"/>
    <w:rsid w:val="3BEE40FB"/>
    <w:rsid w:val="3C5C4961"/>
    <w:rsid w:val="46E573E4"/>
    <w:rsid w:val="46F56910"/>
    <w:rsid w:val="49EB3795"/>
    <w:rsid w:val="4A9F3C99"/>
    <w:rsid w:val="554C3B9F"/>
    <w:rsid w:val="557378ED"/>
    <w:rsid w:val="5DDE5652"/>
    <w:rsid w:val="5FEA56D8"/>
    <w:rsid w:val="60B66CA4"/>
    <w:rsid w:val="6BDA1271"/>
    <w:rsid w:val="6E711399"/>
    <w:rsid w:val="7B292635"/>
    <w:rsid w:val="7D236D81"/>
    <w:rsid w:val="7FFF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link w:val="47"/>
    <w:qFormat/>
    <w:uiPriority w:val="0"/>
    <w:pPr>
      <w:keepNext/>
      <w:keepLines/>
      <w:spacing w:line="560" w:lineRule="exact"/>
      <w:ind w:firstLine="880" w:firstLineChars="200"/>
      <w:outlineLvl w:val="1"/>
    </w:pPr>
    <w:rPr>
      <w:rFonts w:ascii="Arial" w:hAnsi="Arial" w:eastAsia="黑体" w:cs="宋体"/>
      <w:sz w:val="32"/>
      <w:szCs w:val="22"/>
    </w:rPr>
  </w:style>
  <w:style w:type="paragraph" w:styleId="3">
    <w:name w:val="heading 3"/>
    <w:basedOn w:val="1"/>
    <w:next w:val="1"/>
    <w:unhideWhenUsed/>
    <w:qFormat/>
    <w:uiPriority w:val="0"/>
    <w:pPr>
      <w:snapToGrid w:val="0"/>
      <w:spacing w:line="580" w:lineRule="exact"/>
      <w:ind w:firstLine="560" w:firstLineChars="200"/>
      <w:jc w:val="left"/>
      <w:outlineLvl w:val="2"/>
    </w:pPr>
    <w:rPr>
      <w:rFonts w:hint="eastAsia" w:ascii="宋体" w:hAnsi="宋体" w:eastAsia="楷体"/>
      <w:kern w:val="0"/>
      <w:szCs w:val="27"/>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Indent"/>
    <w:qFormat/>
    <w:uiPriority w:val="99"/>
    <w:pPr>
      <w:spacing w:after="120"/>
      <w:ind w:left="420" w:leftChars="200"/>
    </w:pPr>
    <w:rPr>
      <w:rFonts w:ascii="Calibri" w:hAnsi="Calibri" w:eastAsia="宋体" w:cs="Times New Roman"/>
      <w:lang w:val="en-US" w:eastAsia="zh-CN" w:bidi="ar-SA"/>
    </w:rPr>
  </w:style>
  <w:style w:type="paragraph" w:styleId="6">
    <w:name w:val="Balloon Text"/>
    <w:basedOn w:val="1"/>
    <w:link w:val="18"/>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19"/>
    <w:qFormat/>
    <w:uiPriority w:val="0"/>
    <w:rPr>
      <w:b/>
      <w:bCs/>
    </w:rPr>
  </w:style>
  <w:style w:type="character" w:styleId="13">
    <w:name w:val="annotation reference"/>
    <w:qFormat/>
    <w:uiPriority w:val="0"/>
    <w:rPr>
      <w:sz w:val="21"/>
      <w:szCs w:val="21"/>
    </w:rPr>
  </w:style>
  <w:style w:type="character" w:customStyle="1" w:styleId="14">
    <w:name w:val="页脚 Char"/>
    <w:link w:val="7"/>
    <w:qFormat/>
    <w:uiPriority w:val="99"/>
    <w:rPr>
      <w:kern w:val="2"/>
      <w:sz w:val="18"/>
    </w:rPr>
  </w:style>
  <w:style w:type="character" w:customStyle="1" w:styleId="15">
    <w:name w:val="页码 New"/>
    <w:basedOn w:val="12"/>
    <w:qFormat/>
    <w:uiPriority w:val="0"/>
  </w:style>
  <w:style w:type="character" w:customStyle="1" w:styleId="16">
    <w:name w:val="页码 New New"/>
    <w:basedOn w:val="12"/>
    <w:qFormat/>
    <w:uiPriority w:val="0"/>
  </w:style>
  <w:style w:type="character" w:customStyle="1" w:styleId="17">
    <w:name w:val="页码 New New New"/>
    <w:basedOn w:val="12"/>
    <w:qFormat/>
    <w:uiPriority w:val="0"/>
  </w:style>
  <w:style w:type="character" w:customStyle="1" w:styleId="18">
    <w:name w:val="批注框文本 Char"/>
    <w:link w:val="6"/>
    <w:qFormat/>
    <w:uiPriority w:val="0"/>
    <w:rPr>
      <w:kern w:val="2"/>
      <w:sz w:val="18"/>
      <w:szCs w:val="18"/>
    </w:rPr>
  </w:style>
  <w:style w:type="character" w:customStyle="1" w:styleId="19">
    <w:name w:val="批注主题 Char"/>
    <w:link w:val="10"/>
    <w:qFormat/>
    <w:uiPriority w:val="0"/>
    <w:rPr>
      <w:b/>
      <w:bCs/>
      <w:kern w:val="2"/>
      <w:sz w:val="21"/>
    </w:rPr>
  </w:style>
  <w:style w:type="character" w:customStyle="1" w:styleId="20">
    <w:name w:val="批注文字 Char"/>
    <w:link w:val="4"/>
    <w:qFormat/>
    <w:uiPriority w:val="0"/>
    <w:rPr>
      <w:kern w:val="2"/>
      <w:sz w:val="21"/>
    </w:rPr>
  </w:style>
  <w:style w:type="character" w:customStyle="1" w:styleId="21">
    <w:name w:val="页码 New New New New"/>
    <w:basedOn w:val="12"/>
    <w:qFormat/>
    <w:uiPriority w:val="0"/>
  </w:style>
  <w:style w:type="paragraph" w:customStyle="1" w:styleId="22">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2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页眉1"/>
    <w:basedOn w:val="1"/>
    <w:qFormat/>
    <w:uiPriority w:val="99"/>
    <w:pPr>
      <w:pBdr>
        <w:bottom w:val="single" w:color="auto" w:sz="6" w:space="1"/>
      </w:pBdr>
      <w:tabs>
        <w:tab w:val="center" w:pos="4153"/>
        <w:tab w:val="right" w:pos="8306"/>
      </w:tabs>
      <w:snapToGrid w:val="0"/>
      <w:jc w:val="right"/>
    </w:pPr>
    <w:rPr>
      <w:rFonts w:hint="eastAsia"/>
    </w:rPr>
  </w:style>
  <w:style w:type="paragraph" w:customStyle="1" w:styleId="26">
    <w:name w:val="页眉 New"/>
    <w:basedOn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7">
    <w:name w:val="页脚 New New New"/>
    <w:basedOn w:val="28"/>
    <w:qFormat/>
    <w:uiPriority w:val="0"/>
    <w:pPr>
      <w:tabs>
        <w:tab w:val="center" w:pos="4153"/>
        <w:tab w:val="right" w:pos="8306"/>
      </w:tabs>
      <w:snapToGrid w:val="0"/>
      <w:jc w:val="left"/>
    </w:pPr>
    <w:rPr>
      <w:sz w:val="18"/>
    </w:rPr>
  </w:style>
  <w:style w:type="paragraph" w:customStyle="1" w:styleId="28">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29">
    <w:name w:val="页眉 New New"/>
    <w:basedOn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0">
    <w:name w:val="正文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1">
    <w:name w:val="正文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2">
    <w:name w:val="页脚 New"/>
    <w:basedOn w:val="23"/>
    <w:qFormat/>
    <w:uiPriority w:val="0"/>
    <w:pPr>
      <w:tabs>
        <w:tab w:val="center" w:pos="4153"/>
        <w:tab w:val="right" w:pos="8306"/>
      </w:tabs>
      <w:snapToGrid w:val="0"/>
      <w:jc w:val="left"/>
    </w:pPr>
    <w:rPr>
      <w:sz w:val="18"/>
      <w:szCs w:val="18"/>
    </w:rPr>
  </w:style>
  <w:style w:type="paragraph" w:customStyle="1" w:styleId="33">
    <w:name w:val="页脚1"/>
    <w:basedOn w:val="1"/>
    <w:qFormat/>
    <w:uiPriority w:val="99"/>
    <w:pPr>
      <w:tabs>
        <w:tab w:val="center" w:pos="4153"/>
        <w:tab w:val="right" w:pos="8306"/>
      </w:tabs>
      <w:snapToGrid w:val="0"/>
      <w:jc w:val="right"/>
    </w:pPr>
    <w:rPr>
      <w:rFonts w:hint="eastAsia"/>
    </w:rPr>
  </w:style>
  <w:style w:type="paragraph" w:customStyle="1" w:styleId="34">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
    <w:name w:val="页脚 New New"/>
    <w:basedOn w:val="22"/>
    <w:qFormat/>
    <w:uiPriority w:val="0"/>
    <w:pPr>
      <w:tabs>
        <w:tab w:val="center" w:pos="4153"/>
        <w:tab w:val="right" w:pos="8306"/>
      </w:tabs>
      <w:snapToGrid w:val="0"/>
      <w:jc w:val="left"/>
    </w:pPr>
    <w:rPr>
      <w:sz w:val="18"/>
    </w:rPr>
  </w:style>
  <w:style w:type="paragraph" w:customStyle="1" w:styleId="36">
    <w:name w:val="页脚 New New New New"/>
    <w:basedOn w:val="37"/>
    <w:qFormat/>
    <w:uiPriority w:val="0"/>
    <w:pPr>
      <w:tabs>
        <w:tab w:val="center" w:pos="4153"/>
        <w:tab w:val="right" w:pos="8306"/>
      </w:tabs>
      <w:snapToGrid w:val="0"/>
      <w:jc w:val="left"/>
    </w:pPr>
    <w:rPr>
      <w:sz w:val="18"/>
      <w:szCs w:val="18"/>
    </w:rPr>
  </w:style>
  <w:style w:type="paragraph" w:customStyle="1" w:styleId="37">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38">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39">
    <w:name w:val="修订1"/>
    <w:qFormat/>
    <w:uiPriority w:val="99"/>
    <w:rPr>
      <w:rFonts w:ascii="Calibri" w:hAnsi="Calibri" w:eastAsia="宋体" w:cs="Times New Roman"/>
      <w:kern w:val="2"/>
      <w:sz w:val="21"/>
      <w:lang w:val="en-US" w:eastAsia="zh-CN" w:bidi="ar-SA"/>
    </w:rPr>
  </w:style>
  <w:style w:type="paragraph" w:customStyle="1" w:styleId="40">
    <w:name w:val="正文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1">
    <w:name w:val="正文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2">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3">
    <w:name w:val="正文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4">
    <w:name w:val="正文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5">
    <w:name w:val="正文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7">
    <w:name w:val="标题 2 Char"/>
    <w:basedOn w:val="12"/>
    <w:link w:val="2"/>
    <w:qFormat/>
    <w:uiPriority w:val="0"/>
    <w:rPr>
      <w:rFonts w:ascii="Arial" w:hAnsi="Arial" w:eastAsia="黑体" w:cs="宋体"/>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9F70-6449-4A4D-B13E-2815078932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2347</Words>
  <Characters>2471</Characters>
  <Lines>18</Lines>
  <Paragraphs>5</Paragraphs>
  <TotalTime>4</TotalTime>
  <ScaleCrop>false</ScaleCrop>
  <LinksUpToDate>false</LinksUpToDate>
  <CharactersWithSpaces>2537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2022-02-13T12:42:00Z</dcterms:created>
  <dc:creator>Administrator</dc:creator>
  <cp:lastModifiedBy>However。</cp:lastModifiedBy>
  <cp:lastPrinted>2021-09-30T09:58:00Z</cp:lastPrinted>
  <dcterms:modified xsi:type="dcterms:W3CDTF">2025-05-19T08:27:59Z</dcterms:modified>
  <dc:title>投资者关系活动记录表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623066C4975A4345ADF307DED6A302A4_13</vt:lpwstr>
  </property>
  <property fmtid="{D5CDD505-2E9C-101B-9397-08002B2CF9AE}" pid="4" name="KSOTemplateDocerSaveRecord">
    <vt:lpwstr>eyJoZGlkIjoiOTAwNTU3MGU4NmFkZDBkMzViNjEzYTg1ZWZlZTgxNGMiLCJ1c2VySWQiOiI2ODkwNTA5MTIifQ==</vt:lpwstr>
  </property>
</Properties>
</file>