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1" w:line="219" w:lineRule="auto"/>
        <w:ind w:left="23"/>
        <w:rPr>
          <w:rFonts w:hint="default" w:ascii="Arial Narrow" w:hAnsi="Arial Narrow" w:eastAsia="宋体" w:cs="宋体"/>
          <w:sz w:val="24"/>
          <w:szCs w:val="24"/>
          <w:lang w:val="en-US" w:eastAsia="zh-CN"/>
        </w:rPr>
      </w:pPr>
      <w:r>
        <w:rPr>
          <w:rFonts w:ascii="Arial Narrow" w:hAnsi="Arial Narrow" w:eastAsia="宋体" w:cs="宋体"/>
          <w:sz w:val="24"/>
          <w:szCs w:val="24"/>
          <w:lang w:eastAsia="zh-CN"/>
        </w:rPr>
        <w:t>证券代码：60</w:t>
      </w:r>
      <w:r>
        <w:rPr>
          <w:rFonts w:hint="eastAsia" w:ascii="Arial Narrow" w:hAnsi="Arial Narrow" w:eastAsia="宋体" w:cs="宋体"/>
          <w:sz w:val="24"/>
          <w:szCs w:val="24"/>
          <w:lang w:eastAsia="zh-CN"/>
        </w:rPr>
        <w:t>0438</w:t>
      </w:r>
      <w:r>
        <w:rPr>
          <w:rFonts w:ascii="Arial Narrow" w:hAnsi="Arial Narrow" w:eastAsia="宋体" w:cs="宋体"/>
          <w:sz w:val="24"/>
          <w:szCs w:val="24"/>
          <w:lang w:eastAsia="zh-CN"/>
        </w:rPr>
        <w:t xml:space="preserve">      </w:t>
      </w:r>
      <w:r>
        <w:rPr>
          <w:rFonts w:hint="eastAsia" w:ascii="Arial Narrow" w:hAnsi="Arial Narrow" w:eastAsia="宋体" w:cs="宋体"/>
          <w:sz w:val="24"/>
          <w:szCs w:val="24"/>
          <w:lang w:val="en-US" w:eastAsia="zh-CN"/>
        </w:rPr>
        <w:t xml:space="preserve">       </w:t>
      </w:r>
      <w:r>
        <w:rPr>
          <w:rFonts w:ascii="Arial Narrow" w:hAnsi="Arial Narrow" w:eastAsia="宋体" w:cs="宋体"/>
          <w:sz w:val="24"/>
          <w:szCs w:val="24"/>
          <w:lang w:eastAsia="zh-CN"/>
        </w:rPr>
        <w:t xml:space="preserve">   </w:t>
      </w:r>
      <w:r>
        <w:rPr>
          <w:rFonts w:hint="eastAsia" w:ascii="Arial Narrow" w:hAnsi="Arial Narrow" w:eastAsia="宋体" w:cs="宋体"/>
          <w:sz w:val="24"/>
          <w:szCs w:val="24"/>
          <w:lang w:val="en-US" w:eastAsia="zh-CN"/>
        </w:rPr>
        <w:t xml:space="preserve"> </w:t>
      </w:r>
      <w:r>
        <w:rPr>
          <w:rFonts w:ascii="Arial Narrow" w:hAnsi="Arial Narrow" w:eastAsia="宋体" w:cs="宋体"/>
          <w:sz w:val="24"/>
          <w:szCs w:val="24"/>
          <w:lang w:eastAsia="zh-CN"/>
        </w:rPr>
        <w:t xml:space="preserve">     </w:t>
      </w:r>
      <w:r>
        <w:rPr>
          <w:rFonts w:ascii="Arial Narrow" w:hAnsi="Arial Narrow" w:eastAsia="宋体" w:cs="宋体"/>
          <w:spacing w:val="-1"/>
          <w:sz w:val="24"/>
          <w:szCs w:val="24"/>
          <w:lang w:eastAsia="zh-CN"/>
        </w:rPr>
        <w:t>证券简称：</w:t>
      </w:r>
      <w:r>
        <w:rPr>
          <w:rFonts w:hint="eastAsia" w:ascii="Arial Narrow" w:hAnsi="Arial Narrow" w:eastAsia="宋体" w:cs="宋体"/>
          <w:spacing w:val="-1"/>
          <w:sz w:val="24"/>
          <w:szCs w:val="24"/>
          <w:lang w:eastAsia="zh-CN"/>
        </w:rPr>
        <w:t>通威股份</w:t>
      </w:r>
      <w:r>
        <w:rPr>
          <w:rFonts w:hint="eastAsia" w:ascii="Arial Narrow" w:hAnsi="Arial Narrow" w:eastAsia="宋体" w:cs="宋体"/>
          <w:spacing w:val="-1"/>
          <w:sz w:val="24"/>
          <w:szCs w:val="24"/>
          <w:lang w:val="en-US" w:eastAsia="zh-CN"/>
        </w:rPr>
        <w:t xml:space="preserve">                          编号：2025-05</w:t>
      </w:r>
    </w:p>
    <w:p>
      <w:pPr>
        <w:keepNext w:val="0"/>
        <w:keepLines w:val="0"/>
        <w:pageBreakBefore w:val="0"/>
        <w:widowControl/>
        <w:kinsoku w:val="0"/>
        <w:wordWrap/>
        <w:overflowPunct/>
        <w:topLinePunct w:val="0"/>
        <w:autoSpaceDE w:val="0"/>
        <w:autoSpaceDN w:val="0"/>
        <w:bidi w:val="0"/>
        <w:adjustRightInd w:val="0"/>
        <w:snapToGrid w:val="0"/>
        <w:spacing w:before="0" w:beforeLines="200" w:line="360" w:lineRule="auto"/>
        <w:ind w:left="0" w:right="0" w:firstLine="0"/>
        <w:jc w:val="center"/>
        <w:textAlignment w:val="baseline"/>
        <w:outlineLvl w:val="0"/>
        <w:rPr>
          <w:rFonts w:ascii="Arial Narrow" w:hAnsi="Arial Narrow" w:eastAsia="宋体" w:cs="宋体"/>
          <w:spacing w:val="3"/>
          <w:sz w:val="32"/>
          <w:szCs w:val="32"/>
          <w:lang w:eastAsia="zh-CN"/>
        </w:rPr>
      </w:pPr>
      <w:r>
        <w:rPr>
          <w:rFonts w:hint="eastAsia" w:ascii="Arial Narrow" w:hAnsi="Arial Narrow" w:eastAsia="宋体" w:cs="宋体"/>
          <w:b/>
          <w:bCs/>
          <w:spacing w:val="-4"/>
          <w:sz w:val="32"/>
          <w:szCs w:val="32"/>
          <w:lang w:eastAsia="zh-CN"/>
        </w:rPr>
        <w:t>通威股份</w:t>
      </w:r>
      <w:r>
        <w:rPr>
          <w:rFonts w:ascii="Arial Narrow" w:hAnsi="Arial Narrow" w:eastAsia="宋体" w:cs="宋体"/>
          <w:b/>
          <w:bCs/>
          <w:spacing w:val="-4"/>
          <w:sz w:val="32"/>
          <w:szCs w:val="32"/>
          <w:lang w:eastAsia="zh-CN"/>
        </w:rPr>
        <w:t>有限公司</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0"/>
        <w:jc w:val="center"/>
        <w:textAlignment w:val="baseline"/>
        <w:outlineLvl w:val="0"/>
        <w:rPr>
          <w:rFonts w:ascii="Arial Narrow" w:hAnsi="Arial Narrow" w:eastAsia="宋体" w:cs="宋体"/>
          <w:sz w:val="32"/>
          <w:szCs w:val="32"/>
          <w:lang w:eastAsia="zh-CN"/>
        </w:rPr>
      </w:pPr>
      <w:r>
        <w:rPr>
          <w:rFonts w:ascii="Arial Narrow" w:hAnsi="Arial Narrow" w:eastAsia="宋体" w:cs="宋体"/>
          <w:b/>
          <w:bCs/>
          <w:spacing w:val="-3"/>
          <w:sz w:val="32"/>
          <w:szCs w:val="32"/>
          <w:lang w:eastAsia="zh-CN"/>
        </w:rPr>
        <w:t>投资者关系活动记录表</w:t>
      </w:r>
    </w:p>
    <w:p>
      <w:pPr>
        <w:spacing w:line="69" w:lineRule="exact"/>
        <w:rPr>
          <w:lang w:eastAsia="zh-CN"/>
        </w:rPr>
      </w:pPr>
    </w:p>
    <w:tbl>
      <w:tblPr>
        <w:tblStyle w:val="6"/>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855"/>
        <w:gridCol w:w="2361"/>
        <w:gridCol w:w="41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9" w:hRule="atLeast"/>
        </w:trPr>
        <w:tc>
          <w:tcPr>
            <w:tcW w:w="1112" w:type="pct"/>
            <w:vAlign w:val="center"/>
          </w:tcPr>
          <w:p>
            <w:pPr>
              <w:pStyle w:val="7"/>
              <w:spacing w:before="78" w:line="347" w:lineRule="auto"/>
              <w:ind w:left="118" w:right="109" w:firstLine="1"/>
              <w:jc w:val="left"/>
            </w:pPr>
            <w:r>
              <w:rPr>
                <w:spacing w:val="27"/>
              </w:rPr>
              <w:t>投资者关系活</w:t>
            </w:r>
            <w:r>
              <w:rPr>
                <w:spacing w:val="4"/>
              </w:rPr>
              <w:t xml:space="preserve"> </w:t>
            </w:r>
            <w:r>
              <w:rPr>
                <w:spacing w:val="-3"/>
              </w:rPr>
              <w:t>动类别</w:t>
            </w:r>
          </w:p>
        </w:tc>
        <w:tc>
          <w:tcPr>
            <w:tcW w:w="1415" w:type="pct"/>
            <w:tcBorders>
              <w:right w:val="nil"/>
            </w:tcBorders>
          </w:tcPr>
          <w:p>
            <w:pPr>
              <w:pStyle w:val="7"/>
              <w:spacing w:before="117" w:line="220" w:lineRule="auto"/>
              <w:ind w:left="137"/>
              <w:rPr>
                <w:lang w:eastAsia="zh-CN"/>
              </w:rPr>
            </w:pPr>
            <w:r>
              <w:rPr>
                <w:rFonts w:hint="eastAsia"/>
                <w:spacing w:val="-5"/>
                <w:lang w:val="en-US" w:eastAsia="zh-CN"/>
              </w:rPr>
              <w:t>□</w:t>
            </w:r>
            <w:r>
              <w:rPr>
                <w:spacing w:val="-5"/>
                <w:lang w:eastAsia="zh-CN"/>
              </w:rPr>
              <w:t>特定对象调研</w:t>
            </w:r>
          </w:p>
          <w:p>
            <w:pPr>
              <w:pStyle w:val="7"/>
              <w:spacing w:before="182" w:line="219" w:lineRule="auto"/>
              <w:ind w:left="137"/>
              <w:rPr>
                <w:lang w:eastAsia="zh-CN"/>
              </w:rPr>
            </w:pPr>
            <w:r>
              <w:rPr>
                <w:spacing w:val="-6"/>
                <w:lang w:eastAsia="zh-CN"/>
              </w:rPr>
              <w:t>□媒体采访</w:t>
            </w:r>
          </w:p>
          <w:p>
            <w:pPr>
              <w:pStyle w:val="7"/>
              <w:spacing w:before="183" w:line="219" w:lineRule="auto"/>
              <w:ind w:left="137"/>
              <w:rPr>
                <w:lang w:eastAsia="zh-CN"/>
              </w:rPr>
            </w:pPr>
            <w:r>
              <w:rPr>
                <w:spacing w:val="-5"/>
                <w:lang w:eastAsia="zh-CN"/>
              </w:rPr>
              <w:t>□新闻发布会</w:t>
            </w:r>
          </w:p>
          <w:p>
            <w:pPr>
              <w:pStyle w:val="7"/>
              <w:spacing w:before="183" w:line="220" w:lineRule="auto"/>
              <w:ind w:left="137"/>
              <w:rPr>
                <w:lang w:eastAsia="zh-CN"/>
              </w:rPr>
            </w:pPr>
            <w:r>
              <w:rPr>
                <w:spacing w:val="-5"/>
                <w:lang w:eastAsia="zh-CN"/>
              </w:rPr>
              <w:t>□</w:t>
            </w:r>
            <w:r>
              <w:rPr>
                <w:spacing w:val="-6"/>
                <w:lang w:eastAsia="zh-CN"/>
              </w:rPr>
              <w:t>现场参观</w:t>
            </w:r>
          </w:p>
          <w:p>
            <w:pPr>
              <w:pStyle w:val="7"/>
              <w:spacing w:before="182" w:line="220" w:lineRule="auto"/>
              <w:ind w:left="137"/>
              <w:rPr>
                <w:lang w:eastAsia="zh-CN"/>
              </w:rPr>
            </w:pPr>
            <w:r>
              <w:rPr>
                <w:rFonts w:hint="eastAsia"/>
                <w:spacing w:val="-5"/>
                <w:lang w:eastAsia="zh-CN"/>
              </w:rPr>
              <w:t>☑</w:t>
            </w:r>
            <w:r>
              <w:rPr>
                <w:spacing w:val="-12"/>
                <w:lang w:eastAsia="zh-CN"/>
              </w:rPr>
              <w:t>其他</w:t>
            </w:r>
            <w:r>
              <w:rPr>
                <w:u w:val="single"/>
                <w:lang w:eastAsia="zh-CN"/>
              </w:rPr>
              <w:t xml:space="preserve">  </w:t>
            </w:r>
            <w:r>
              <w:rPr>
                <w:rFonts w:hint="eastAsia"/>
                <w:u w:val="single"/>
                <w:lang w:eastAsia="zh-CN"/>
              </w:rPr>
              <w:t>线上会议</w:t>
            </w:r>
            <w:r>
              <w:rPr>
                <w:u w:val="single"/>
                <w:lang w:eastAsia="zh-CN"/>
              </w:rPr>
              <w:t xml:space="preserve">          </w:t>
            </w:r>
          </w:p>
        </w:tc>
        <w:tc>
          <w:tcPr>
            <w:tcW w:w="2472" w:type="pct"/>
            <w:tcBorders>
              <w:left w:val="nil"/>
            </w:tcBorders>
          </w:tcPr>
          <w:p>
            <w:pPr>
              <w:pStyle w:val="7"/>
              <w:spacing w:before="117" w:line="219" w:lineRule="auto"/>
              <w:ind w:left="197"/>
              <w:rPr>
                <w:lang w:eastAsia="zh-CN"/>
              </w:rPr>
            </w:pPr>
            <w:r>
              <w:rPr>
                <w:rFonts w:hint="eastAsia"/>
                <w:spacing w:val="-5"/>
                <w:lang w:eastAsia="zh-CN"/>
              </w:rPr>
              <w:t>☑</w:t>
            </w:r>
            <w:r>
              <w:rPr>
                <w:spacing w:val="-5"/>
                <w:lang w:eastAsia="zh-CN"/>
              </w:rPr>
              <w:t>分析师会议</w:t>
            </w:r>
          </w:p>
          <w:p>
            <w:pPr>
              <w:pStyle w:val="7"/>
              <w:spacing w:before="183" w:line="219" w:lineRule="auto"/>
              <w:ind w:left="197"/>
              <w:rPr>
                <w:lang w:eastAsia="zh-CN"/>
              </w:rPr>
            </w:pPr>
            <w:r>
              <w:rPr>
                <w:rFonts w:hint="eastAsia"/>
                <w:spacing w:val="-5"/>
                <w:lang w:eastAsia="zh-CN"/>
              </w:rPr>
              <w:t>☑</w:t>
            </w:r>
            <w:r>
              <w:rPr>
                <w:spacing w:val="-6"/>
                <w:lang w:eastAsia="zh-CN"/>
              </w:rPr>
              <w:t>业绩说明会</w:t>
            </w:r>
          </w:p>
          <w:p>
            <w:pPr>
              <w:pStyle w:val="7"/>
              <w:spacing w:before="182" w:line="220" w:lineRule="auto"/>
              <w:ind w:left="197"/>
            </w:pPr>
            <w:r>
              <w:rPr>
                <w:rFonts w:hint="eastAsia"/>
                <w:spacing w:val="-6"/>
                <w:lang w:eastAsia="zh-CN"/>
              </w:rPr>
              <w:t>□</w:t>
            </w:r>
            <w:r>
              <w:rPr>
                <w:spacing w:val="-6"/>
              </w:rPr>
              <w:t>路演活动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1112" w:type="pct"/>
            <w:vAlign w:val="center"/>
          </w:tcPr>
          <w:p>
            <w:pPr>
              <w:pStyle w:val="7"/>
              <w:spacing w:before="78" w:line="347" w:lineRule="auto"/>
              <w:ind w:left="116" w:right="109" w:firstLine="2"/>
              <w:jc w:val="left"/>
              <w:rPr>
                <w:lang w:eastAsia="zh-CN"/>
              </w:rPr>
            </w:pPr>
            <w:r>
              <w:rPr>
                <w:spacing w:val="28"/>
                <w:lang w:eastAsia="zh-CN"/>
              </w:rPr>
              <w:t>参与单位名称</w:t>
            </w:r>
            <w:r>
              <w:rPr>
                <w:lang w:eastAsia="zh-CN"/>
              </w:rPr>
              <w:t xml:space="preserve"> </w:t>
            </w:r>
            <w:r>
              <w:rPr>
                <w:spacing w:val="-2"/>
                <w:lang w:eastAsia="zh-CN"/>
              </w:rPr>
              <w:t>及人员姓名</w:t>
            </w:r>
          </w:p>
        </w:tc>
        <w:tc>
          <w:tcPr>
            <w:tcW w:w="3887" w:type="pct"/>
            <w:gridSpan w:val="2"/>
          </w:tcPr>
          <w:p>
            <w:pPr>
              <w:pStyle w:val="7"/>
              <w:numPr>
                <w:ilvl w:val="0"/>
                <w:numId w:val="1"/>
              </w:numPr>
              <w:spacing w:before="109" w:line="345" w:lineRule="auto"/>
              <w:ind w:right="23"/>
              <w:jc w:val="both"/>
              <w:rPr>
                <w:b/>
                <w:bCs/>
                <w:lang w:eastAsia="zh-CN"/>
              </w:rPr>
            </w:pPr>
            <w:r>
              <w:rPr>
                <w:rFonts w:hint="eastAsia"/>
                <w:b/>
                <w:bCs/>
                <w:lang w:val="en-US" w:eastAsia="zh-CN"/>
              </w:rPr>
              <w:t>线上会议</w:t>
            </w:r>
          </w:p>
          <w:p>
            <w:pPr>
              <w:pStyle w:val="7"/>
              <w:spacing w:before="109" w:line="276" w:lineRule="auto"/>
              <w:ind w:left="136" w:right="23" w:firstLine="240" w:firstLineChars="100"/>
              <w:jc w:val="both"/>
              <w:rPr>
                <w:lang w:eastAsia="zh-CN"/>
              </w:rPr>
            </w:pPr>
            <w:r>
              <w:rPr>
                <w:rFonts w:hint="eastAsia"/>
                <w:lang w:eastAsia="zh-CN"/>
              </w:rPr>
              <w:t>本</w:t>
            </w:r>
            <w:r>
              <w:rPr>
                <w:rFonts w:hint="eastAsia"/>
                <w:lang w:val="en-US" w:eastAsia="zh-CN"/>
              </w:rPr>
              <w:t>期</w:t>
            </w:r>
            <w:r>
              <w:rPr>
                <w:rFonts w:hint="eastAsia"/>
                <w:lang w:eastAsia="zh-CN"/>
              </w:rPr>
              <w:t>公司与</w:t>
            </w:r>
            <w:r>
              <w:rPr>
                <w:rFonts w:hint="eastAsia"/>
                <w:lang w:val="en-US" w:eastAsia="zh-CN"/>
              </w:rPr>
              <w:t>嘉实基金、大和证券、国寿安保基金、建信基金、平安基金、融通基金</w:t>
            </w:r>
            <w:r>
              <w:rPr>
                <w:rFonts w:hint="eastAsia"/>
                <w:lang w:eastAsia="zh-CN"/>
              </w:rPr>
              <w:t>等机构进行了线上交流。</w:t>
            </w:r>
          </w:p>
          <w:p>
            <w:pPr>
              <w:pStyle w:val="7"/>
              <w:numPr>
                <w:ilvl w:val="0"/>
                <w:numId w:val="1"/>
              </w:numPr>
              <w:spacing w:before="109" w:line="345" w:lineRule="auto"/>
              <w:ind w:right="23"/>
              <w:jc w:val="both"/>
              <w:rPr>
                <w:b/>
                <w:bCs/>
                <w:lang w:eastAsia="zh-CN"/>
              </w:rPr>
            </w:pPr>
            <w:r>
              <w:rPr>
                <w:rFonts w:hint="eastAsia"/>
                <w:b/>
                <w:bCs/>
                <w:lang w:val="en-US" w:eastAsia="zh-CN"/>
              </w:rPr>
              <w:t>策略会</w:t>
            </w:r>
          </w:p>
          <w:p>
            <w:pPr>
              <w:pStyle w:val="7"/>
              <w:spacing w:before="109" w:line="276" w:lineRule="auto"/>
              <w:ind w:left="136" w:right="23" w:firstLine="240" w:firstLineChars="100"/>
              <w:jc w:val="both"/>
              <w:rPr>
                <w:rFonts w:hint="default"/>
                <w:b/>
                <w:bCs/>
                <w:lang w:val="en-US" w:eastAsia="zh-CN"/>
              </w:rPr>
            </w:pPr>
            <w:r>
              <w:rPr>
                <w:rFonts w:hint="eastAsia"/>
                <w:lang w:eastAsia="zh-CN"/>
              </w:rPr>
              <w:t>本</w:t>
            </w:r>
            <w:r>
              <w:rPr>
                <w:rFonts w:hint="eastAsia"/>
                <w:lang w:val="en-US" w:eastAsia="zh-CN"/>
              </w:rPr>
              <w:t>期</w:t>
            </w:r>
            <w:r>
              <w:rPr>
                <w:rFonts w:hint="eastAsia"/>
                <w:lang w:eastAsia="zh-CN"/>
              </w:rPr>
              <w:t>公司</w:t>
            </w:r>
            <w:r>
              <w:rPr>
                <w:rFonts w:hint="eastAsia"/>
                <w:lang w:val="en-US" w:eastAsia="zh-CN"/>
              </w:rPr>
              <w:t>参加了东吴证券、中信建投证券、财通证券、国金证券、华创证券、美林证券、麦格理资本等券商研究所组织的策略会，</w:t>
            </w:r>
            <w:r>
              <w:rPr>
                <w:rFonts w:hint="eastAsia"/>
                <w:lang w:eastAsia="zh-CN"/>
              </w:rPr>
              <w:t>参加策略会并与公司交流的投资机构有</w:t>
            </w:r>
            <w:r>
              <w:rPr>
                <w:rFonts w:hint="eastAsia"/>
                <w:lang w:val="en-US" w:eastAsia="zh-CN"/>
              </w:rPr>
              <w:t>东方红基金、汇添富基金、交银施罗德基金、兴全基金、圆信永丰基金、华夏基金、太保资产、3W Fund、Point 72、Millennium Capital</w:t>
            </w:r>
            <w:r>
              <w:rPr>
                <w:rFonts w:hint="eastAsia"/>
                <w:lang w:eastAsia="zh-CN"/>
              </w:rPr>
              <w:t>等。</w:t>
            </w:r>
          </w:p>
          <w:p>
            <w:pPr>
              <w:pStyle w:val="7"/>
              <w:numPr>
                <w:ilvl w:val="0"/>
                <w:numId w:val="1"/>
              </w:numPr>
              <w:spacing w:before="109" w:line="345" w:lineRule="auto"/>
              <w:ind w:right="23"/>
              <w:jc w:val="both"/>
              <w:rPr>
                <w:rFonts w:hint="eastAsia"/>
                <w:b/>
                <w:bCs/>
                <w:spacing w:val="-2"/>
                <w:lang w:val="en-US" w:eastAsia="zh-CN"/>
              </w:rPr>
            </w:pPr>
            <w:r>
              <w:rPr>
                <w:rFonts w:hint="eastAsia"/>
                <w:b/>
                <w:bCs/>
                <w:spacing w:val="-2"/>
                <w:lang w:val="en-US" w:eastAsia="zh-CN"/>
              </w:rPr>
              <w:t>业绩说明会</w:t>
            </w:r>
          </w:p>
          <w:p>
            <w:pPr>
              <w:pStyle w:val="7"/>
              <w:spacing w:before="109" w:line="276" w:lineRule="auto"/>
              <w:ind w:left="136" w:right="23" w:firstLine="240" w:firstLineChars="100"/>
              <w:jc w:val="both"/>
              <w:rPr>
                <w:rFonts w:hint="default"/>
                <w:lang w:val="en-US" w:eastAsia="zh-CN"/>
              </w:rPr>
            </w:pPr>
            <w:r>
              <w:rPr>
                <w:rFonts w:hint="eastAsia"/>
                <w:lang w:val="en-US" w:eastAsia="zh-CN"/>
              </w:rPr>
              <w:t>2025年5月15日，公司通过上证路演中心平台举行了2024年年度暨2025年第一季度业绩说明会，线上回答了广大投资者提出的问题。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112" w:type="pct"/>
          </w:tcPr>
          <w:p>
            <w:pPr>
              <w:pStyle w:val="7"/>
              <w:spacing w:before="148" w:line="222" w:lineRule="auto"/>
              <w:ind w:left="128"/>
            </w:pPr>
            <w:r>
              <w:rPr>
                <w:spacing w:val="-6"/>
              </w:rPr>
              <w:t>时间</w:t>
            </w:r>
          </w:p>
        </w:tc>
        <w:tc>
          <w:tcPr>
            <w:tcW w:w="3887" w:type="pct"/>
            <w:gridSpan w:val="2"/>
          </w:tcPr>
          <w:p>
            <w:pPr>
              <w:pStyle w:val="7"/>
              <w:spacing w:before="148" w:line="220" w:lineRule="auto"/>
              <w:ind w:left="116"/>
            </w:pPr>
            <w:r>
              <w:rPr>
                <w:rFonts w:hint="eastAsia"/>
                <w:spacing w:val="-7"/>
              </w:rPr>
              <w:t>202</w:t>
            </w:r>
            <w:r>
              <w:rPr>
                <w:rFonts w:hint="eastAsia"/>
                <w:spacing w:val="-7"/>
                <w:lang w:val="en-US" w:eastAsia="zh-CN"/>
              </w:rPr>
              <w:t>5</w:t>
            </w:r>
            <w:r>
              <w:rPr>
                <w:rFonts w:hint="eastAsia"/>
                <w:spacing w:val="-7"/>
              </w:rPr>
              <w:t>年</w:t>
            </w:r>
            <w:r>
              <w:rPr>
                <w:rFonts w:hint="eastAsia"/>
                <w:spacing w:val="-7"/>
                <w:lang w:val="en-US" w:eastAsia="zh-CN"/>
              </w:rPr>
              <w:t>4</w:t>
            </w:r>
            <w:r>
              <w:rPr>
                <w:rFonts w:hint="eastAsia"/>
                <w:spacing w:val="-7"/>
              </w:rPr>
              <w:t>月1日</w:t>
            </w:r>
            <w:r>
              <w:rPr>
                <w:rFonts w:hint="eastAsia"/>
                <w:spacing w:val="-7"/>
                <w:lang w:eastAsia="zh-CN"/>
              </w:rPr>
              <w:t>—</w:t>
            </w:r>
            <w:r>
              <w:rPr>
                <w:rFonts w:hint="eastAsia"/>
                <w:spacing w:val="-7"/>
                <w:lang w:val="en-US" w:eastAsia="zh-CN"/>
              </w:rPr>
              <w:t>5</w:t>
            </w:r>
            <w:r>
              <w:rPr>
                <w:rFonts w:hint="eastAsia"/>
                <w:spacing w:val="-7"/>
              </w:rPr>
              <w:t>月</w:t>
            </w:r>
            <w:r>
              <w:rPr>
                <w:rFonts w:hint="eastAsia"/>
                <w:spacing w:val="-7"/>
                <w:lang w:val="en-US" w:eastAsia="zh-CN"/>
              </w:rPr>
              <w:t>15</w:t>
            </w:r>
            <w:r>
              <w:rPr>
                <w:rFonts w:hint="eastAsia"/>
                <w:spacing w:val="-7"/>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112" w:type="pct"/>
          </w:tcPr>
          <w:p>
            <w:pPr>
              <w:pStyle w:val="7"/>
              <w:spacing w:before="166" w:line="224" w:lineRule="auto"/>
              <w:ind w:left="117"/>
            </w:pPr>
            <w:r>
              <w:rPr>
                <w:spacing w:val="-3"/>
              </w:rPr>
              <w:t>地点</w:t>
            </w:r>
          </w:p>
        </w:tc>
        <w:tc>
          <w:tcPr>
            <w:tcW w:w="3887" w:type="pct"/>
            <w:gridSpan w:val="2"/>
          </w:tcPr>
          <w:p>
            <w:pPr>
              <w:pStyle w:val="7"/>
              <w:spacing w:before="166" w:line="220" w:lineRule="auto"/>
              <w:ind w:left="128"/>
              <w:rPr>
                <w:rFonts w:hint="default"/>
                <w:lang w:val="en-US" w:eastAsia="zh-CN"/>
              </w:rPr>
            </w:pPr>
            <w:r>
              <w:rPr>
                <w:rFonts w:hint="eastAsia"/>
                <w:spacing w:val="-4"/>
                <w:lang w:val="en-US" w:eastAsia="zh-CN"/>
              </w:rPr>
              <w:t>上海、深圳、杭州、长沙</w:t>
            </w:r>
            <w:r>
              <w:rPr>
                <w:rFonts w:hint="eastAsia"/>
                <w:spacing w:val="-4"/>
                <w:lang w:eastAsia="zh-CN"/>
              </w:rPr>
              <w:t>、</w:t>
            </w:r>
            <w:r>
              <w:rPr>
                <w:rFonts w:hint="eastAsia"/>
                <w:spacing w:val="-4"/>
                <w:lang w:val="en-US" w:eastAsia="zh-CN"/>
              </w:rPr>
              <w:t>上证路演中心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1" w:hRule="atLeast"/>
        </w:trPr>
        <w:tc>
          <w:tcPr>
            <w:tcW w:w="1112" w:type="pct"/>
            <w:vAlign w:val="center"/>
          </w:tcPr>
          <w:p>
            <w:pPr>
              <w:pStyle w:val="7"/>
              <w:spacing w:before="78" w:line="347" w:lineRule="auto"/>
              <w:ind w:left="119" w:right="109"/>
              <w:jc w:val="left"/>
              <w:rPr>
                <w:lang w:eastAsia="zh-CN"/>
              </w:rPr>
            </w:pPr>
            <w:r>
              <w:rPr>
                <w:spacing w:val="28"/>
                <w:lang w:eastAsia="zh-CN"/>
              </w:rPr>
              <w:t>上市公司接待</w:t>
            </w:r>
            <w:r>
              <w:rPr>
                <w:lang w:eastAsia="zh-CN"/>
              </w:rPr>
              <w:t xml:space="preserve"> </w:t>
            </w:r>
            <w:r>
              <w:rPr>
                <w:spacing w:val="-3"/>
                <w:lang w:eastAsia="zh-CN"/>
              </w:rPr>
              <w:t>人员姓名</w:t>
            </w:r>
          </w:p>
        </w:tc>
        <w:tc>
          <w:tcPr>
            <w:tcW w:w="3887" w:type="pct"/>
            <w:gridSpan w:val="2"/>
          </w:tcPr>
          <w:p>
            <w:pPr>
              <w:pStyle w:val="7"/>
              <w:spacing w:before="166" w:line="220" w:lineRule="auto"/>
              <w:ind w:left="128"/>
              <w:jc w:val="both"/>
              <w:rPr>
                <w:rFonts w:hint="default"/>
                <w:spacing w:val="-4"/>
                <w:lang w:val="en-US" w:eastAsia="zh-CN"/>
              </w:rPr>
            </w:pPr>
            <w:r>
              <w:rPr>
                <w:rFonts w:hint="eastAsia"/>
                <w:spacing w:val="-4"/>
                <w:lang w:val="en-US" w:eastAsia="zh-CN"/>
              </w:rPr>
              <w:t>副董事长 严虎</w:t>
            </w:r>
          </w:p>
          <w:p>
            <w:pPr>
              <w:pStyle w:val="7"/>
              <w:spacing w:before="166" w:line="220" w:lineRule="auto"/>
              <w:ind w:left="128"/>
              <w:jc w:val="both"/>
              <w:rPr>
                <w:rFonts w:hint="eastAsia"/>
                <w:spacing w:val="-4"/>
                <w:lang w:val="en-US" w:eastAsia="zh-CN"/>
              </w:rPr>
            </w:pPr>
            <w:r>
              <w:rPr>
                <w:rFonts w:hint="eastAsia"/>
                <w:spacing w:val="-4"/>
                <w:lang w:val="en-US" w:eastAsia="zh-CN"/>
              </w:rPr>
              <w:t>财务总监 周斌</w:t>
            </w:r>
          </w:p>
          <w:p>
            <w:pPr>
              <w:pStyle w:val="7"/>
              <w:spacing w:before="166" w:line="220" w:lineRule="auto"/>
              <w:ind w:left="128"/>
              <w:jc w:val="both"/>
              <w:rPr>
                <w:rFonts w:hint="default"/>
                <w:spacing w:val="-4"/>
                <w:lang w:val="en-US" w:eastAsia="zh-CN"/>
              </w:rPr>
            </w:pPr>
            <w:r>
              <w:rPr>
                <w:rFonts w:hint="eastAsia"/>
                <w:spacing w:val="-4"/>
                <w:lang w:val="en-US" w:eastAsia="zh-CN"/>
              </w:rPr>
              <w:t>光伏首席技术官 邢国强</w:t>
            </w:r>
          </w:p>
          <w:p>
            <w:pPr>
              <w:pStyle w:val="7"/>
              <w:spacing w:before="166" w:line="220" w:lineRule="auto"/>
              <w:ind w:left="128"/>
              <w:rPr>
                <w:rFonts w:hint="default"/>
                <w:lang w:val="en-US" w:eastAsia="zh-CN"/>
              </w:rPr>
            </w:pPr>
            <w:r>
              <w:rPr>
                <w:rFonts w:hint="eastAsia"/>
                <w:lang w:val="en-US" w:eastAsia="zh-CN"/>
              </w:rPr>
              <w:t>董事会秘书 严轲</w:t>
            </w:r>
          </w:p>
          <w:p>
            <w:pPr>
              <w:pStyle w:val="7"/>
              <w:spacing w:before="166" w:line="220" w:lineRule="auto"/>
              <w:ind w:left="128"/>
              <w:rPr>
                <w:rFonts w:hint="eastAsia"/>
                <w:spacing w:val="-4"/>
                <w:lang w:eastAsia="zh-CN"/>
              </w:rPr>
            </w:pPr>
            <w:r>
              <w:rPr>
                <w:rFonts w:hint="eastAsia"/>
                <w:spacing w:val="-4"/>
                <w:lang w:eastAsia="zh-CN"/>
              </w:rPr>
              <w:t>投资者关系经理 钟秋实</w:t>
            </w:r>
          </w:p>
          <w:p>
            <w:pPr>
              <w:pStyle w:val="7"/>
              <w:spacing w:before="166" w:line="220" w:lineRule="auto"/>
              <w:ind w:left="128"/>
              <w:rPr>
                <w:lang w:eastAsia="zh-CN"/>
              </w:rPr>
            </w:pPr>
            <w:r>
              <w:rPr>
                <w:rFonts w:hint="eastAsia"/>
                <w:spacing w:val="-4"/>
                <w:lang w:eastAsia="zh-CN"/>
              </w:rPr>
              <w:t>投资者关系经理 孙书恒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0" w:hRule="atLeast"/>
        </w:trPr>
        <w:tc>
          <w:tcPr>
            <w:tcW w:w="1112" w:type="pct"/>
            <w:vAlign w:val="center"/>
          </w:tcPr>
          <w:p>
            <w:pPr>
              <w:pStyle w:val="7"/>
              <w:spacing w:before="78" w:line="353" w:lineRule="auto"/>
              <w:ind w:left="118" w:right="109" w:firstLine="1"/>
              <w:jc w:val="both"/>
              <w:rPr>
                <w:lang w:eastAsia="zh-CN"/>
              </w:rPr>
            </w:pPr>
            <w:r>
              <w:rPr>
                <w:spacing w:val="27"/>
                <w:lang w:eastAsia="zh-CN"/>
              </w:rPr>
              <w:t>投资者关系活</w:t>
            </w:r>
            <w:r>
              <w:rPr>
                <w:spacing w:val="4"/>
                <w:lang w:eastAsia="zh-CN"/>
              </w:rPr>
              <w:t xml:space="preserve"> </w:t>
            </w:r>
            <w:r>
              <w:rPr>
                <w:spacing w:val="28"/>
                <w:lang w:eastAsia="zh-CN"/>
              </w:rPr>
              <w:t>动主要内容介</w:t>
            </w:r>
            <w:r>
              <w:rPr>
                <w:lang w:eastAsia="zh-CN"/>
              </w:rPr>
              <w:t xml:space="preserve"> 绍</w:t>
            </w:r>
          </w:p>
        </w:tc>
        <w:tc>
          <w:tcPr>
            <w:tcW w:w="3887" w:type="pct"/>
            <w:gridSpan w:val="2"/>
          </w:tcPr>
          <w:p>
            <w:pPr>
              <w:pStyle w:val="7"/>
              <w:spacing w:before="273" w:line="346" w:lineRule="auto"/>
              <w:ind w:left="122" w:right="107" w:firstLine="491"/>
              <w:rPr>
                <w:rFonts w:hint="default"/>
                <w:lang w:val="en-US" w:eastAsia="zh-CN"/>
              </w:rPr>
            </w:pPr>
            <w:r>
              <w:rPr>
                <w:b/>
                <w:bCs/>
                <w:lang w:eastAsia="zh-CN"/>
              </w:rPr>
              <w:t>1、</w:t>
            </w:r>
            <w:r>
              <w:rPr>
                <w:rFonts w:hint="eastAsia"/>
                <w:b/>
                <w:bCs/>
                <w:lang w:val="en-US" w:eastAsia="zh-CN"/>
              </w:rPr>
              <w:t>近期美国对东南亚双反税率终裁落地，对公司光伏业务是否有影响？未来公司是否考虑通过海外其他区域投资建厂来规避贸易壁垒？</w:t>
            </w:r>
          </w:p>
          <w:p>
            <w:pPr>
              <w:pStyle w:val="7"/>
              <w:spacing w:before="36" w:line="329" w:lineRule="auto"/>
              <w:ind w:left="113" w:right="105" w:firstLine="503"/>
              <w:jc w:val="both"/>
              <w:rPr>
                <w:rFonts w:hint="eastAsia"/>
                <w:lang w:val="en-US" w:eastAsia="zh-CN"/>
              </w:rPr>
            </w:pPr>
            <w:r>
              <w:rPr>
                <w:spacing w:val="-2"/>
                <w:lang w:eastAsia="zh-CN"/>
              </w:rPr>
              <w:t>答：</w:t>
            </w:r>
            <w:r>
              <w:rPr>
                <w:rFonts w:hint="eastAsia"/>
                <w:lang w:val="en-US" w:eastAsia="zh-CN"/>
              </w:rPr>
              <w:t>感谢您的提问。首先根据最新的终裁结果来看，东南四国双反税率较去年初裁结果进一步上调，无疑对</w:t>
            </w:r>
            <w:r>
              <w:rPr>
                <w:rFonts w:hint="default"/>
                <w:lang w:val="en-US" w:eastAsia="zh-CN"/>
              </w:rPr>
              <w:t>通过东南亚产能出口美国市场的中国光伏企业带来新的挑战</w:t>
            </w:r>
            <w:r>
              <w:rPr>
                <w:rFonts w:hint="eastAsia"/>
                <w:lang w:val="en-US" w:eastAsia="zh-CN"/>
              </w:rPr>
              <w:t>，但美国光伏市场新增装机量仅占到全球市场的10%左右，我们相信美国的贸易手段无法撼动全球光伏市场格局，且中国光伏企业也做好了应对准备。</w:t>
            </w:r>
          </w:p>
          <w:p>
            <w:pPr>
              <w:pStyle w:val="7"/>
              <w:spacing w:before="36" w:line="329" w:lineRule="auto"/>
              <w:ind w:left="113" w:right="105" w:firstLine="503"/>
              <w:jc w:val="both"/>
              <w:rPr>
                <w:rFonts w:hint="eastAsia"/>
                <w:lang w:val="en-US" w:eastAsia="zh-CN"/>
              </w:rPr>
            </w:pPr>
            <w:r>
              <w:rPr>
                <w:rFonts w:hint="eastAsia"/>
                <w:lang w:val="en-US" w:eastAsia="zh-CN"/>
              </w:rPr>
              <w:t>对通威而言，因公司光伏业务暂时没有海外产能，目前也没有组件产品出口到美国市场，所以东南亚双反税的落地对公司光伏业务不构成直接影响；但公司始终认为中国光伏出海的趋势是非常明确的，我们也一直</w:t>
            </w:r>
            <w:r>
              <w:rPr>
                <w:rFonts w:hint="default"/>
                <w:lang w:val="en-US" w:eastAsia="zh-CN"/>
              </w:rPr>
              <w:t>秉承</w:t>
            </w:r>
            <w:r>
              <w:rPr>
                <w:rFonts w:hint="eastAsia"/>
                <w:lang w:val="en-US" w:eastAsia="zh-CN"/>
              </w:rPr>
              <w:t>着</w:t>
            </w:r>
            <w:r>
              <w:rPr>
                <w:rFonts w:hint="default"/>
                <w:lang w:val="en-US" w:eastAsia="zh-CN"/>
              </w:rPr>
              <w:t>全球化布局与风险分散的经营理念</w:t>
            </w:r>
            <w:r>
              <w:rPr>
                <w:rFonts w:hint="eastAsia"/>
                <w:lang w:val="en-US" w:eastAsia="zh-CN"/>
              </w:rPr>
              <w:t>，</w:t>
            </w:r>
            <w:r>
              <w:rPr>
                <w:rFonts w:hint="default"/>
                <w:lang w:val="en-US" w:eastAsia="zh-CN"/>
              </w:rPr>
              <w:t>近年来公司持续加大对中东、亚太、拉美等新兴市场的开拓力度，2024年</w:t>
            </w:r>
            <w:r>
              <w:rPr>
                <w:rFonts w:hint="eastAsia"/>
                <w:lang w:val="en-US" w:eastAsia="zh-CN"/>
              </w:rPr>
              <w:t>公司组件海外销量同比增长98%</w:t>
            </w:r>
            <w:r>
              <w:rPr>
                <w:rFonts w:hint="default"/>
                <w:lang w:val="en-US" w:eastAsia="zh-CN"/>
              </w:rPr>
              <w:t>。在美国市场存在不确定性的背景下，沙特、阿联酋等中东国家加快推进能源转型，招标规模快速提升，同时巴基斯坦、尼日利亚等“一带一路”市场需求爆发式增长，均为公司海外业务提供强劲增长极。</w:t>
            </w:r>
            <w:r>
              <w:rPr>
                <w:rFonts w:hint="eastAsia"/>
                <w:lang w:val="en-US" w:eastAsia="zh-CN"/>
              </w:rPr>
              <w:tab/>
            </w:r>
          </w:p>
          <w:p>
            <w:pPr>
              <w:pStyle w:val="7"/>
              <w:spacing w:before="36" w:line="329" w:lineRule="auto"/>
              <w:ind w:left="113" w:right="105" w:firstLine="503"/>
              <w:jc w:val="both"/>
              <w:rPr>
                <w:rFonts w:hint="default"/>
                <w:lang w:val="en-US" w:eastAsia="zh-CN"/>
              </w:rPr>
            </w:pPr>
            <w:r>
              <w:rPr>
                <w:rFonts w:hint="default"/>
                <w:lang w:val="en-US" w:eastAsia="zh-CN"/>
              </w:rPr>
              <w:t>关于海外产能建设的战略考量，</w:t>
            </w:r>
            <w:r>
              <w:rPr>
                <w:rFonts w:hint="eastAsia"/>
                <w:lang w:val="en-US" w:eastAsia="zh-CN"/>
              </w:rPr>
              <w:t>公司将</w:t>
            </w:r>
            <w:r>
              <w:rPr>
                <w:rFonts w:hint="default"/>
                <w:lang w:val="en-US" w:eastAsia="zh-CN"/>
              </w:rPr>
              <w:t>遵循“市场牵引、成本最优、风险可控”三大核心原则</w:t>
            </w:r>
            <w:r>
              <w:rPr>
                <w:rFonts w:hint="eastAsia"/>
                <w:lang w:val="en-US" w:eastAsia="zh-CN"/>
              </w:rPr>
              <w:t>对海外产能布局的可行性展开研究</w:t>
            </w:r>
            <w:r>
              <w:rPr>
                <w:rFonts w:hint="default"/>
                <w:lang w:val="en-US" w:eastAsia="zh-CN"/>
              </w:rPr>
              <w:t>，实际上</w:t>
            </w:r>
            <w:r>
              <w:rPr>
                <w:rFonts w:hint="eastAsia"/>
                <w:lang w:val="en-US" w:eastAsia="zh-CN"/>
              </w:rPr>
              <w:t>过去几年公司团队已经多次走访</w:t>
            </w:r>
            <w:r>
              <w:rPr>
                <w:rFonts w:hint="default"/>
                <w:lang w:val="en-US" w:eastAsia="zh-CN"/>
              </w:rPr>
              <w:t>、</w:t>
            </w:r>
            <w:r>
              <w:rPr>
                <w:rFonts w:hint="eastAsia"/>
                <w:lang w:val="en-US" w:eastAsia="zh-CN"/>
              </w:rPr>
              <w:t>考察全球多个国家，但值得注意的是，</w:t>
            </w:r>
            <w:r>
              <w:rPr>
                <w:rFonts w:hint="default"/>
                <w:lang w:val="en-US" w:eastAsia="zh-CN"/>
              </w:rPr>
              <w:t>光伏制造业具备明显的产业链集群与规模效应特征</w:t>
            </w:r>
            <w:r>
              <w:rPr>
                <w:rFonts w:hint="eastAsia"/>
                <w:lang w:val="en-US" w:eastAsia="zh-CN"/>
              </w:rPr>
              <w:t>，</w:t>
            </w:r>
            <w:r>
              <w:rPr>
                <w:rFonts w:hint="default"/>
                <w:lang w:val="en-US" w:eastAsia="zh-CN"/>
              </w:rPr>
              <w:t>盲目海外扩产可能面临人才匮乏、供应链断层、能源成本高昂等现实问题</w:t>
            </w:r>
            <w:r>
              <w:rPr>
                <w:rFonts w:hint="eastAsia"/>
                <w:lang w:val="en-US" w:eastAsia="zh-CN"/>
              </w:rPr>
              <w:t>，公司</w:t>
            </w:r>
            <w:r>
              <w:rPr>
                <w:rFonts w:hint="default"/>
                <w:lang w:val="en-US" w:eastAsia="zh-CN"/>
              </w:rPr>
              <w:t>在</w:t>
            </w:r>
            <w:r>
              <w:rPr>
                <w:rFonts w:hint="eastAsia"/>
                <w:lang w:val="en-US" w:eastAsia="zh-CN"/>
              </w:rPr>
              <w:t>海外</w:t>
            </w:r>
            <w:r>
              <w:rPr>
                <w:rFonts w:hint="default"/>
                <w:lang w:val="en-US" w:eastAsia="zh-CN"/>
              </w:rPr>
              <w:t>建厂选址中将重点考察当地产业配套成熟度、生产要素稳定性及政策延续性，优先选择与公司战略</w:t>
            </w:r>
            <w:r>
              <w:rPr>
                <w:rFonts w:hint="eastAsia"/>
                <w:lang w:val="en-US" w:eastAsia="zh-CN"/>
              </w:rPr>
              <w:t>合作伙伴或当地资本</w:t>
            </w:r>
            <w:r>
              <w:rPr>
                <w:rFonts w:hint="default"/>
                <w:lang w:val="en-US" w:eastAsia="zh-CN"/>
              </w:rPr>
              <w:t>合作共建的模式，确保投资回报的安全性。</w:t>
            </w:r>
          </w:p>
          <w:p>
            <w:pPr>
              <w:pStyle w:val="7"/>
              <w:spacing w:before="36" w:line="329" w:lineRule="auto"/>
              <w:ind w:left="113" w:right="105" w:firstLine="503"/>
              <w:jc w:val="both"/>
              <w:rPr>
                <w:rFonts w:hint="default"/>
                <w:spacing w:val="-2"/>
                <w:lang w:val="en-US" w:eastAsia="zh-CN"/>
              </w:rPr>
            </w:pPr>
            <w:r>
              <w:rPr>
                <w:rFonts w:hint="default"/>
                <w:lang w:val="en-US" w:eastAsia="zh-CN"/>
              </w:rPr>
              <w:t>展望未来，公司将坚持“技术驱动全球化”的战略</w:t>
            </w:r>
            <w:r>
              <w:rPr>
                <w:rFonts w:hint="eastAsia"/>
                <w:lang w:val="en-US" w:eastAsia="zh-CN"/>
              </w:rPr>
              <w:t>思路</w:t>
            </w:r>
            <w:r>
              <w:rPr>
                <w:rFonts w:hint="default"/>
                <w:lang w:val="en-US" w:eastAsia="zh-CN"/>
              </w:rPr>
              <w:t>。一方面加速N型TOPCon、HJT等差异化产品的迭代升级，以</w:t>
            </w:r>
            <w:r>
              <w:rPr>
                <w:rFonts w:hint="eastAsia"/>
                <w:lang w:val="en-US" w:eastAsia="zh-CN"/>
              </w:rPr>
              <w:t>更领先的产品竞争力</w:t>
            </w:r>
            <w:r>
              <w:rPr>
                <w:rFonts w:hint="default"/>
                <w:lang w:val="en-US" w:eastAsia="zh-CN"/>
              </w:rPr>
              <w:t>突破海外市场的非关税壁垒；另一方面深化与</w:t>
            </w:r>
            <w:r>
              <w:rPr>
                <w:rFonts w:hint="eastAsia"/>
                <w:lang w:val="en-US" w:eastAsia="zh-CN"/>
              </w:rPr>
              <w:t>海外客户的</w:t>
            </w:r>
            <w:r>
              <w:rPr>
                <w:rFonts w:hint="default"/>
                <w:lang w:val="en-US" w:eastAsia="zh-CN"/>
              </w:rPr>
              <w:t>战略合作，构建本土化服务能力。我们相信，唯有以技术创新锚定客户价值，以供应链韧性抵御外部风险，方能在这场全球能源变革中稳立潮头。</w:t>
            </w:r>
          </w:p>
          <w:p>
            <w:pPr>
              <w:pStyle w:val="7"/>
              <w:keepNext w:val="0"/>
              <w:keepLines w:val="0"/>
              <w:pageBreakBefore w:val="0"/>
              <w:widowControl/>
              <w:numPr>
                <w:ilvl w:val="0"/>
                <w:numId w:val="2"/>
              </w:numPr>
              <w:kinsoku w:val="0"/>
              <w:wordWrap/>
              <w:overflowPunct/>
              <w:topLinePunct w:val="0"/>
              <w:autoSpaceDE w:val="0"/>
              <w:autoSpaceDN w:val="0"/>
              <w:bidi w:val="0"/>
              <w:adjustRightInd w:val="0"/>
              <w:snapToGrid w:val="0"/>
              <w:spacing w:before="0" w:beforeLines="50" w:line="329" w:lineRule="auto"/>
              <w:ind w:left="113" w:right="108" w:firstLine="505"/>
              <w:jc w:val="both"/>
              <w:textAlignment w:val="baseline"/>
              <w:rPr>
                <w:rFonts w:hint="eastAsia"/>
                <w:b/>
                <w:bCs/>
                <w:sz w:val="24"/>
                <w:szCs w:val="24"/>
                <w:lang w:val="en-US" w:eastAsia="zh-CN"/>
              </w:rPr>
            </w:pPr>
            <w:r>
              <w:rPr>
                <w:rFonts w:hint="eastAsia" w:ascii="宋体" w:hAnsi="宋体" w:eastAsia="宋体" w:cs="宋体"/>
                <w:b/>
                <w:bCs/>
                <w:i w:val="0"/>
                <w:iCs w:val="0"/>
                <w:caps w:val="0"/>
                <w:spacing w:val="0"/>
                <w:sz w:val="24"/>
                <w:szCs w:val="24"/>
                <w:lang w:val="en-US" w:eastAsia="zh-CN"/>
              </w:rPr>
              <w:t>请管理层介绍一下公司子公司永祥股份本次融资是出于什么考量？当前融资事项处在什么阶段？</w:t>
            </w:r>
          </w:p>
          <w:p>
            <w:pPr>
              <w:pStyle w:val="7"/>
              <w:spacing w:before="36" w:line="329" w:lineRule="auto"/>
              <w:ind w:left="113" w:right="105" w:firstLine="503"/>
              <w:jc w:val="both"/>
              <w:rPr>
                <w:rFonts w:hint="eastAsia"/>
                <w:lang w:val="en-US" w:eastAsia="zh-CN"/>
              </w:rPr>
            </w:pPr>
            <w:r>
              <w:rPr>
                <w:rFonts w:hint="eastAsia"/>
                <w:lang w:val="en-US" w:eastAsia="zh-CN"/>
              </w:rPr>
              <w:t>答：感谢您的提问，作为全球高纯晶硅行业规模与技术双领先的龙头企业，永祥股份目前产能超过90万吨，市场份额连续多年保持全球第一，但面对去年以来全球光伏市场供需格局的阶段性调整，公司巩固高纯晶硅核心环节的竞争优势不仅需要持续提质降本的“硬实力”，更需要优化资本结构与资源协同的“软支撑”。此次引入战略投资者正是基于对行业中长期发展方向的战略研判，一方面通过对资本的实质性充实，为公司应对极端行情释放充足的财务弹性，另一方面也为公司把握中长期发展机遇储备资源。</w:t>
            </w:r>
          </w:p>
          <w:p>
            <w:pPr>
              <w:pStyle w:val="7"/>
              <w:spacing w:before="36" w:line="329" w:lineRule="auto"/>
              <w:ind w:left="113" w:right="105" w:firstLine="503"/>
              <w:jc w:val="both"/>
              <w:rPr>
                <w:rFonts w:hint="eastAsia"/>
                <w:lang w:val="en-US" w:eastAsia="zh-CN"/>
              </w:rPr>
            </w:pPr>
            <w:r>
              <w:rPr>
                <w:rFonts w:hint="eastAsia"/>
                <w:lang w:val="en-US" w:eastAsia="zh-CN"/>
              </w:rPr>
              <w:t>从操作路径来看，本轮融资严格遵循市场化估值原则，以第三方评估机构出具的256.93亿元归母权益评估值为基础，结合企业核心竞争力与未来收益预期，最终确定增资前估值为270亿元。战略投资者合计增资拟不超过100亿元，对应增资后股权比例不超过27.03%。募集资金将主要用于偿还金融机构负债及补充营运资金，这一安排既能有效降低当前上市公司资产负债率、优化财务成本结构，又能增强在当前复杂市场环境中的抗风险能力。融资后通威股份对永祥股份的持股比例仍维持在不低于72.97%，确保了核心资产会计并表及实际控制的稳定性。当前融资事项持续推进中，主要AIC\AMC的自营投资资金已经交割，募集资金将陆续到位。</w:t>
            </w:r>
          </w:p>
          <w:p>
            <w:pPr>
              <w:pStyle w:val="7"/>
              <w:spacing w:before="36" w:line="329" w:lineRule="auto"/>
              <w:ind w:left="113" w:right="105" w:firstLine="503"/>
              <w:jc w:val="both"/>
              <w:rPr>
                <w:rFonts w:hint="default"/>
                <w:lang w:val="en-US" w:eastAsia="zh-CN"/>
              </w:rPr>
            </w:pPr>
            <w:r>
              <w:rPr>
                <w:rFonts w:hint="eastAsia"/>
                <w:lang w:val="en-US" w:eastAsia="zh-CN"/>
              </w:rPr>
              <w:t>最后，公司深知光伏行业正处于从规模扩张向高质量发展转型的关键节点，此次永祥股份的资本运作是应对当前行业调整期的主动作为。公司将继续秉持审慎稳健的财务策略，在巩固高纯晶硅全球龙头地位的同时，持续强化上下游产业链整合能力，以更优化的资本结构和更具韧性的经营能力回报投资者的信任。谢谢！</w:t>
            </w:r>
          </w:p>
          <w:p>
            <w:pPr>
              <w:pStyle w:val="7"/>
              <w:keepNext w:val="0"/>
              <w:keepLines w:val="0"/>
              <w:pageBreakBefore w:val="0"/>
              <w:widowControl/>
              <w:numPr>
                <w:ilvl w:val="0"/>
                <w:numId w:val="2"/>
              </w:numPr>
              <w:kinsoku w:val="0"/>
              <w:wordWrap/>
              <w:overflowPunct/>
              <w:topLinePunct w:val="0"/>
              <w:autoSpaceDE w:val="0"/>
              <w:autoSpaceDN w:val="0"/>
              <w:bidi w:val="0"/>
              <w:adjustRightInd w:val="0"/>
              <w:snapToGrid w:val="0"/>
              <w:spacing w:before="0" w:beforeLines="50" w:line="329" w:lineRule="auto"/>
              <w:ind w:left="113" w:right="108" w:firstLine="505"/>
              <w:jc w:val="both"/>
              <w:textAlignment w:val="baseline"/>
              <w:rPr>
                <w:rFonts w:hint="eastAsia"/>
                <w:b/>
                <w:bCs/>
                <w:lang w:val="en-US" w:eastAsia="zh-CN"/>
              </w:rPr>
            </w:pPr>
            <w:r>
              <w:rPr>
                <w:rFonts w:hint="eastAsia"/>
                <w:b/>
                <w:bCs/>
                <w:lang w:val="en-US" w:eastAsia="zh-CN"/>
              </w:rPr>
              <w:t>想请问管理层如何看待今年下半年和未来几年的光伏新增装机需求？</w:t>
            </w:r>
          </w:p>
          <w:p>
            <w:pPr>
              <w:pStyle w:val="7"/>
              <w:spacing w:before="36" w:line="329" w:lineRule="auto"/>
              <w:ind w:left="113" w:right="105" w:firstLine="503"/>
              <w:jc w:val="both"/>
              <w:rPr>
                <w:rFonts w:hint="eastAsia"/>
                <w:lang w:val="en-US" w:eastAsia="zh-CN"/>
              </w:rPr>
            </w:pPr>
            <w:r>
              <w:rPr>
                <w:rFonts w:hint="eastAsia"/>
                <w:lang w:val="en-US" w:eastAsia="zh-CN"/>
              </w:rPr>
              <w:t>答：感谢提问！首先从全球范围来看，光伏发电作为最具经济性、普适性的能源解决方案，始终是能源转型的最优选择。2024年全球光伏新增装机约530GW，同比增长35.9%，2025年1-3月我国光伏新增装机近60GW，同比增长30.5%，可以看到光伏装机需求依然强劲。下半年来看，虽分布式光伏全额上网“时代”结束或在短期对国内分布式需求形成一定冲击，且欧美市场因贸易壁垒等问题存在不确定性，但国内“沙戈荒”大基地建设正在提速，将对今年国内新增需求形成有效托底，同时中东、拉美等新兴市场已成为海外新的增长极，带动海外需求持续增长；全年来看，我们认为今年全球光伏装机需求将稳中有进，继续保持增长。</w:t>
            </w:r>
          </w:p>
          <w:p>
            <w:pPr>
              <w:pStyle w:val="7"/>
              <w:spacing w:before="36" w:line="329" w:lineRule="auto"/>
              <w:ind w:left="113" w:right="105" w:firstLine="503"/>
              <w:jc w:val="both"/>
              <w:rPr>
                <w:rFonts w:hint="default"/>
                <w:b w:val="0"/>
                <w:bCs w:val="0"/>
                <w:lang w:val="en-US" w:eastAsia="zh-CN"/>
              </w:rPr>
            </w:pPr>
            <w:r>
              <w:rPr>
                <w:rFonts w:hint="eastAsia"/>
                <w:lang w:val="en-US" w:eastAsia="zh-CN"/>
              </w:rPr>
              <w:t>长期来看，我们仍然对全球光伏的市场空间充满信心。一方面光伏作为我国能实现自主可控的绿色能源形式，将在我国能源安全及“双碳”目标的推动下继续迎来广阔的发展空间；另一方面随着光储平价应用在全球多个区域实现，光伏发电成本较化石能源优势将持续扩大，有望通过其经济性推动全球加速实现能源转型。根据国际可再生能源署在2023年的研究报告显示，全球若要在2050年实现碳中和目标，全球光伏累计装机量将达到18200GW，而截至2024年末，全球光伏累计装机量才刚刚超过2000GW。此外，我们也关注到近一两年来，AI算力革命正在席卷全球，而全球数据中心的投入使用必将带来电力需求激增，光伏凭借其绿色、经济、普惠等特点，无疑将成为填补新增需求缺口的主力。谢谢！</w:t>
            </w:r>
          </w:p>
          <w:p>
            <w:pPr>
              <w:pStyle w:val="7"/>
              <w:keepNext w:val="0"/>
              <w:keepLines w:val="0"/>
              <w:pageBreakBefore w:val="0"/>
              <w:widowControl/>
              <w:numPr>
                <w:ilvl w:val="0"/>
                <w:numId w:val="2"/>
              </w:numPr>
              <w:kinsoku w:val="0"/>
              <w:wordWrap/>
              <w:overflowPunct/>
              <w:topLinePunct w:val="0"/>
              <w:autoSpaceDE w:val="0"/>
              <w:autoSpaceDN w:val="0"/>
              <w:bidi w:val="0"/>
              <w:adjustRightInd w:val="0"/>
              <w:snapToGrid w:val="0"/>
              <w:spacing w:before="0" w:beforeLines="50" w:line="329" w:lineRule="auto"/>
              <w:ind w:left="113" w:right="108" w:firstLine="505"/>
              <w:jc w:val="both"/>
              <w:textAlignment w:val="baseline"/>
              <w:rPr>
                <w:rFonts w:hint="eastAsia" w:ascii="宋体" w:hAnsi="宋体" w:eastAsia="宋体" w:cs="宋体"/>
                <w:b/>
                <w:bCs/>
                <w:lang w:val="en-US" w:eastAsia="zh-CN"/>
              </w:rPr>
            </w:pPr>
            <w:r>
              <w:rPr>
                <w:rFonts w:hint="eastAsia" w:ascii="宋体" w:hAnsi="宋体" w:eastAsia="宋体" w:cs="宋体"/>
                <w:b/>
                <w:bCs/>
                <w:kern w:val="2"/>
                <w:sz w:val="24"/>
                <w:szCs w:val="24"/>
                <w:lang w:val="en-US" w:eastAsia="zh-CN" w:bidi="ar-SA"/>
              </w:rPr>
              <w:t>公司2025年对电池新技术的布局会有什么策略，是否考虑新技术量产规划？</w:t>
            </w:r>
          </w:p>
          <w:p>
            <w:pPr>
              <w:pStyle w:val="7"/>
              <w:spacing w:before="36" w:line="329" w:lineRule="auto"/>
              <w:ind w:left="113" w:right="105" w:firstLine="503"/>
              <w:jc w:val="both"/>
              <w:rPr>
                <w:rFonts w:hint="eastAsia"/>
                <w:lang w:val="en-US" w:eastAsia="zh-CN"/>
              </w:rPr>
            </w:pPr>
            <w:r>
              <w:rPr>
                <w:rFonts w:hint="eastAsia"/>
                <w:lang w:val="en-US" w:eastAsia="zh-CN"/>
              </w:rPr>
              <w:t>答：感谢您对通威股份技术发展的关注。关于2025年电池新技术的布局策略，公司将依托通威全球创新研发中心和四川省晶硅光伏产业创新中心两大平台，继续以“覆盖主流技术、强化比较优势、动态适配市场”为基本原则，在巩固TOPCon量产技术领先地位的同时，持续加大HJT、xBC、钙钛矿/硅叠层等技术的研发投入，形成有通威特色的多元化技术储备，以应对快速变化的市场需求。</w:t>
            </w:r>
          </w:p>
          <w:p>
            <w:pPr>
              <w:pStyle w:val="7"/>
              <w:spacing w:before="36" w:line="329" w:lineRule="auto"/>
              <w:ind w:left="113" w:right="105" w:firstLine="503"/>
              <w:jc w:val="both"/>
              <w:rPr>
                <w:rFonts w:hint="eastAsia"/>
                <w:lang w:val="en-US" w:eastAsia="zh-CN"/>
              </w:rPr>
            </w:pPr>
            <w:r>
              <w:rPr>
                <w:rFonts w:hint="eastAsia"/>
                <w:lang w:val="en-US" w:eastAsia="zh-CN"/>
              </w:rPr>
              <w:t>从技术属性来看，当前行业处于N型迭代加速与技术路线分化的关键阶段。TOPCon作为现阶段商业化最成熟的产品，其性价比优势已得到市场充分验证，即使到目前，我们也看到TOPCon技术仍然有较大的提效潜力，今年公司也相应规划了TNC 2.0技术的路线图，将通过TPE边缘钝化、钢网印刷、背面多晶硅栅、908、全面屏等一系列电池、组件一体化技术，在现有基础上推动TNC组件量产主流功率档位继续提升25W以上。</w:t>
            </w:r>
          </w:p>
          <w:p>
            <w:pPr>
              <w:pStyle w:val="7"/>
              <w:spacing w:before="36" w:line="329" w:lineRule="auto"/>
              <w:ind w:left="113" w:right="105" w:firstLine="503"/>
              <w:jc w:val="both"/>
              <w:rPr>
                <w:rFonts w:hint="default"/>
                <w:lang w:val="en-US" w:eastAsia="zh-CN"/>
              </w:rPr>
            </w:pPr>
            <w:r>
              <w:rPr>
                <w:rFonts w:hint="eastAsia"/>
                <w:lang w:val="en-US" w:eastAsia="zh-CN"/>
              </w:rPr>
              <w:t>需要强调的是，不管是HJT、xBC、还是钙钛矿/叠层电池，公司对新技术的量产规划始终基于市场可行性与经济性评估。2025年我们将重点围绕“度电成本最优”与“全生命周期可靠性”的平衡，持续在中试线上对HJT和xBC技术进行动态评估，并同时结合国内外高溢价市场接受度持续评估量产可行性。公司会始终坚持“研发端保持超前半步、量产端紧跟市场需求”的行动纲领，确保技术投入与战略布局的高度适配，为公司在技术变革浪潮中构建更强的产业韧性。谢谢！</w:t>
            </w:r>
          </w:p>
          <w:p>
            <w:pPr>
              <w:pStyle w:val="7"/>
              <w:keepNext w:val="0"/>
              <w:keepLines w:val="0"/>
              <w:pageBreakBefore w:val="0"/>
              <w:widowControl/>
              <w:kinsoku w:val="0"/>
              <w:wordWrap/>
              <w:overflowPunct/>
              <w:topLinePunct w:val="0"/>
              <w:autoSpaceDE w:val="0"/>
              <w:autoSpaceDN w:val="0"/>
              <w:bidi w:val="0"/>
              <w:adjustRightInd w:val="0"/>
              <w:snapToGrid w:val="0"/>
              <w:spacing w:before="0" w:beforeLines="50" w:line="329" w:lineRule="auto"/>
              <w:ind w:left="113" w:right="108" w:firstLine="505"/>
              <w:jc w:val="both"/>
              <w:textAlignment w:val="baseline"/>
              <w:rPr>
                <w:rFonts w:hint="default"/>
                <w:b/>
                <w:bCs/>
                <w:lang w:val="en-US" w:eastAsia="zh-CN"/>
              </w:rPr>
            </w:pPr>
            <w:r>
              <w:rPr>
                <w:rFonts w:hint="eastAsia"/>
                <w:b/>
                <w:bCs/>
                <w:lang w:val="en-US" w:eastAsia="zh-CN"/>
              </w:rPr>
              <w:t>5</w:t>
            </w:r>
            <w:r>
              <w:rPr>
                <w:b/>
                <w:bCs/>
                <w:lang w:eastAsia="zh-CN"/>
              </w:rPr>
              <w:t>、</w:t>
            </w:r>
            <w:r>
              <w:rPr>
                <w:rFonts w:hint="eastAsia" w:ascii="宋体" w:hAnsi="宋体" w:eastAsia="宋体" w:cs="宋体"/>
                <w:b/>
                <w:bCs/>
                <w:kern w:val="2"/>
                <w:sz w:val="24"/>
                <w:szCs w:val="24"/>
                <w:lang w:val="en-US" w:eastAsia="zh-CN" w:bidi="ar-SA"/>
              </w:rPr>
              <w:t>关注到公司一季度资产负债率已突破70%，请问公司银行融资授信是否受到影响？同时也想请问公司2025年的资本开支计划如何展望？</w:t>
            </w:r>
          </w:p>
          <w:p>
            <w:pPr>
              <w:pStyle w:val="7"/>
              <w:spacing w:before="36" w:line="329" w:lineRule="auto"/>
              <w:ind w:left="113" w:right="105" w:firstLine="503"/>
              <w:jc w:val="both"/>
              <w:rPr>
                <w:rFonts w:hint="eastAsia"/>
                <w:lang w:val="en-US" w:eastAsia="zh-CN"/>
              </w:rPr>
            </w:pPr>
            <w:r>
              <w:rPr>
                <w:rFonts w:hint="eastAsia"/>
                <w:lang w:val="en-US" w:eastAsia="zh-CN"/>
              </w:rPr>
              <w:t>答：感谢提问，截至2025年一季度末，公司账面货币资金及交易性金融资产规模约400亿元，银行授信额度超1400亿元且主体信用评级持续稳定，已使用授信占比68%，并与各类型银行开展长期战略合作，建立了畅通的沟通渠道。尽管阶段性资产负债率有所波动，但需要考虑票据池业务、可转债存续等结构化金融工具的影响，剔除相关因素后公司光伏制造端资产负债率仍处于安全阈值内，不存在短期流动性风险。</w:t>
            </w:r>
          </w:p>
          <w:p>
            <w:pPr>
              <w:pStyle w:val="7"/>
              <w:spacing w:before="36" w:line="329" w:lineRule="auto"/>
              <w:ind w:left="113" w:right="105" w:firstLine="503"/>
              <w:jc w:val="both"/>
              <w:rPr>
                <w:rFonts w:hint="eastAsia"/>
                <w:lang w:val="en-US" w:eastAsia="zh-CN"/>
              </w:rPr>
            </w:pPr>
            <w:r>
              <w:rPr>
                <w:rFonts w:hint="eastAsia"/>
                <w:lang w:val="en-US" w:eastAsia="zh-CN"/>
              </w:rPr>
              <w:t>关于资本开支安排，在行业当前阶段性供需失衡的背景下，2025年公司将严格遵循“稳预期、控节奏”的原则，重点聚焦存量项目进度款和尾款支付及技术研发和技术升级与工艺改进。根据前期规划，公司云南和包头各20万吨高纯晶硅项目已于去年建成投产，短期开支高峰期已过，2025年年度资本开支规模较2024年将有显著收缩。未来公司将高度关注经营性现金流安全边际，持续通过技术降本、精益管理与供应链协同提升单位资本开支效率。</w:t>
            </w:r>
          </w:p>
          <w:p>
            <w:pPr>
              <w:pStyle w:val="7"/>
              <w:spacing w:before="36" w:line="329" w:lineRule="auto"/>
              <w:ind w:left="113" w:right="105" w:firstLine="503"/>
              <w:jc w:val="both"/>
              <w:rPr>
                <w:rFonts w:hint="default"/>
                <w:lang w:val="en-US" w:eastAsia="zh-CN"/>
              </w:rPr>
            </w:pPr>
            <w:r>
              <w:rPr>
                <w:rFonts w:hint="eastAsia"/>
                <w:lang w:val="en-US" w:eastAsia="zh-CN"/>
              </w:rPr>
              <w:t>当前光伏行业正处于周期性调整的关键阶段，但通威凭借全产业链布局的</w:t>
            </w:r>
            <w:bookmarkStart w:id="0" w:name="_GoBack"/>
            <w:bookmarkEnd w:id="0"/>
            <w:r>
              <w:rPr>
                <w:rFonts w:hint="eastAsia"/>
                <w:lang w:val="en-US" w:eastAsia="zh-CN"/>
              </w:rPr>
              <w:t>优势与深度工艺积累，始终保持对市场波动的快速响应能力。管理层对融资工具储备、资金周转效率与投资回报率等核心指标实施动态监测，确保在支撑技术领先地位的同时，筑牢财务安全防线，为中长期价值回报夯实基础。谢谢！</w:t>
            </w:r>
          </w:p>
          <w:p>
            <w:pPr>
              <w:pStyle w:val="7"/>
              <w:keepNext w:val="0"/>
              <w:keepLines w:val="0"/>
              <w:pageBreakBefore w:val="0"/>
              <w:widowControl/>
              <w:kinsoku w:val="0"/>
              <w:wordWrap/>
              <w:overflowPunct/>
              <w:topLinePunct w:val="0"/>
              <w:autoSpaceDE w:val="0"/>
              <w:autoSpaceDN w:val="0"/>
              <w:bidi w:val="0"/>
              <w:adjustRightInd w:val="0"/>
              <w:snapToGrid w:val="0"/>
              <w:spacing w:before="0" w:beforeLines="50" w:line="329" w:lineRule="auto"/>
              <w:ind w:left="113" w:right="108" w:firstLine="505"/>
              <w:jc w:val="both"/>
              <w:textAlignment w:val="baseline"/>
              <w:rPr>
                <w:rFonts w:hint="default"/>
                <w:b/>
                <w:bCs/>
                <w:lang w:val="en-US" w:eastAsia="zh-CN"/>
              </w:rPr>
            </w:pPr>
            <w:r>
              <w:rPr>
                <w:rFonts w:hint="eastAsia"/>
                <w:b/>
                <w:bCs/>
                <w:lang w:val="en-US" w:eastAsia="zh-CN"/>
              </w:rPr>
              <w:t>6</w:t>
            </w:r>
            <w:r>
              <w:rPr>
                <w:b/>
                <w:bCs/>
                <w:lang w:eastAsia="zh-CN"/>
              </w:rPr>
              <w:t>、</w:t>
            </w:r>
            <w:r>
              <w:rPr>
                <w:rFonts w:hint="eastAsia" w:ascii="宋体" w:hAnsi="宋体" w:eastAsia="宋体" w:cs="宋体"/>
                <w:b/>
                <w:bCs/>
                <w:kern w:val="2"/>
                <w:sz w:val="24"/>
                <w:szCs w:val="24"/>
                <w:lang w:val="en-US" w:eastAsia="zh-CN" w:bidi="ar-SA"/>
              </w:rPr>
              <w:t>多晶硅期货主力合约临近交割，公司是否有计划利用多晶硅管理库存风险？是否有计划通过多晶硅期货交割环节进行大量销售，以达到去库的目的？</w:t>
            </w:r>
          </w:p>
          <w:p>
            <w:pPr>
              <w:pStyle w:val="7"/>
              <w:spacing w:before="36" w:line="329" w:lineRule="auto"/>
              <w:ind w:left="113" w:right="105" w:firstLine="503"/>
              <w:jc w:val="both"/>
              <w:rPr>
                <w:rFonts w:hint="default"/>
                <w:lang w:val="en-US" w:eastAsia="zh-CN"/>
              </w:rPr>
            </w:pPr>
            <w:r>
              <w:rPr>
                <w:spacing w:val="-2"/>
                <w:lang w:eastAsia="zh-CN"/>
              </w:rPr>
              <w:t>答：</w:t>
            </w:r>
            <w:r>
              <w:rPr>
                <w:rFonts w:hint="eastAsia"/>
                <w:lang w:val="en-US" w:eastAsia="zh-CN"/>
              </w:rPr>
              <w:t>感谢您的提问，针对多晶硅期货风险管理，公司高度重视衍生品工具在平抑经营波动中的战略意义，目前已设立期货套保相关管理制度，建立期货风险管理细则，搭建完备的人才团队，并广泛地与交易所、投资机构、产业链上下游等建立互动联系，以便及时掌握市场信息，快速决策。同时，公司将以稳定经营为目的，审慎研究多晶硅期货工具的使用。从库存管理上，目前主要还是通过现货市场正常消化，暂无计划通过多晶硅期货交割环节进行去库。谢谢！</w:t>
            </w:r>
          </w:p>
          <w:p>
            <w:pPr>
              <w:pStyle w:val="7"/>
              <w:keepNext w:val="0"/>
              <w:keepLines w:val="0"/>
              <w:pageBreakBefore w:val="0"/>
              <w:widowControl/>
              <w:numPr>
                <w:ilvl w:val="0"/>
                <w:numId w:val="3"/>
              </w:numPr>
              <w:kinsoku w:val="0"/>
              <w:wordWrap/>
              <w:overflowPunct/>
              <w:topLinePunct w:val="0"/>
              <w:autoSpaceDE w:val="0"/>
              <w:autoSpaceDN w:val="0"/>
              <w:bidi w:val="0"/>
              <w:adjustRightInd w:val="0"/>
              <w:snapToGrid w:val="0"/>
              <w:spacing w:before="0" w:beforeLines="50" w:line="329" w:lineRule="auto"/>
              <w:ind w:left="113" w:right="108" w:firstLine="505"/>
              <w:jc w:val="both"/>
              <w:textAlignment w:val="baseline"/>
              <w:rPr>
                <w:rFonts w:hint="eastAsia" w:cs="宋体"/>
                <w:b/>
                <w:bCs/>
                <w:sz w:val="24"/>
                <w:szCs w:val="24"/>
                <w:lang w:val="en-US" w:eastAsia="zh-CN"/>
              </w:rPr>
            </w:pPr>
            <w:r>
              <w:rPr>
                <w:rFonts w:hint="eastAsia" w:ascii="宋体" w:hAnsi="宋体" w:eastAsia="宋体" w:cs="宋体"/>
                <w:b/>
                <w:bCs/>
                <w:kern w:val="2"/>
                <w:sz w:val="24"/>
                <w:szCs w:val="24"/>
                <w:lang w:val="en-US" w:eastAsia="zh-CN" w:bidi="ar-SA"/>
              </w:rPr>
              <w:t>关注到公司2024年海外组件销量同比大幅增长，首先恭喜公司</w:t>
            </w:r>
            <w:r>
              <w:rPr>
                <w:rFonts w:hint="eastAsia" w:cs="宋体"/>
                <w:b/>
                <w:bCs/>
                <w:kern w:val="2"/>
                <w:sz w:val="24"/>
                <w:szCs w:val="24"/>
                <w:lang w:val="en-US" w:eastAsia="zh-CN" w:bidi="ar-SA"/>
              </w:rPr>
              <w:t>，</w:t>
            </w:r>
            <w:r>
              <w:rPr>
                <w:rFonts w:hint="eastAsia" w:ascii="宋体" w:hAnsi="宋体" w:eastAsia="宋体" w:cs="宋体"/>
                <w:b/>
                <w:bCs/>
                <w:kern w:val="2"/>
                <w:sz w:val="24"/>
                <w:szCs w:val="24"/>
                <w:lang w:val="en-US" w:eastAsia="zh-CN" w:bidi="ar-SA"/>
              </w:rPr>
              <w:t>其次想请问公司如何考虑未来海外组件营销策略？</w:t>
            </w:r>
          </w:p>
          <w:p>
            <w:pPr>
              <w:pStyle w:val="7"/>
              <w:spacing w:before="36" w:line="329" w:lineRule="auto"/>
              <w:ind w:left="113" w:right="105" w:firstLine="503"/>
              <w:jc w:val="both"/>
              <w:rPr>
                <w:rFonts w:hint="eastAsia"/>
                <w:lang w:val="en-US" w:eastAsia="zh-CN"/>
              </w:rPr>
            </w:pPr>
            <w:r>
              <w:rPr>
                <w:rFonts w:hint="eastAsia"/>
                <w:lang w:val="en-US" w:eastAsia="zh-CN"/>
              </w:rPr>
              <w:t>答：感谢您的关注！纵观全球能源转型的大趋势，国际市场对高效光伏产品的需求持续释放，我们将2024年视为通威全球组件营销全面提速的关键年。在过去一年里，我们在深耕欧洲市场的同时，加快突破亚太、中东非等核心新兴市场，并成功斩获沙特、波兰等多国GW级项目订单。为加快全球化本地布局，我们在去年启用了德国公司及欧洲营销中心，推动港口增值税递延等贸易机制应用，结合区块链溯源体系与ESG 品牌建设，分销网络密度与客户粘性显著提升，全年海外销量同比增长98.76%。</w:t>
            </w:r>
          </w:p>
          <w:p>
            <w:pPr>
              <w:pStyle w:val="7"/>
              <w:spacing w:before="36" w:line="329" w:lineRule="auto"/>
              <w:ind w:left="113" w:right="105" w:firstLine="503"/>
              <w:jc w:val="both"/>
              <w:rPr>
                <w:rFonts w:hint="eastAsia"/>
                <w:lang w:val="en-US" w:eastAsia="zh-CN"/>
              </w:rPr>
            </w:pPr>
            <w:r>
              <w:rPr>
                <w:rFonts w:hint="eastAsia"/>
                <w:lang w:val="en-US" w:eastAsia="zh-CN"/>
              </w:rPr>
              <w:t>向后展望，公司将继续在现有海外营销网络基础上进一步下沉，并计划启动新的区域营销中心，加强本土化客户响应速度和服务能力。此外，公司会持续关注技术创新和产品创新在海外市场上带来的差异化机会。年内公司将推出TNC 2.0产品，有望将现有TOPCon组件量产主流功率档位继续提升25W以上，与此同时公司2024年210-66版型HJT组件平均功率已突破740W，并规划了780W HJT组件产品的研发路线图。我们认为高效组件产品的推出将持续助力公司打开海外溢价市场。</w:t>
            </w:r>
          </w:p>
          <w:p>
            <w:pPr>
              <w:pStyle w:val="7"/>
              <w:spacing w:before="36" w:line="329" w:lineRule="auto"/>
              <w:ind w:left="113" w:right="105" w:firstLine="503"/>
              <w:jc w:val="both"/>
              <w:rPr>
                <w:rFonts w:hint="default"/>
                <w:spacing w:val="-2"/>
                <w:lang w:val="en-US" w:eastAsia="zh-CN"/>
              </w:rPr>
            </w:pPr>
            <w:r>
              <w:rPr>
                <w:rFonts w:hint="eastAsia"/>
                <w:lang w:val="en-US" w:eastAsia="zh-CN"/>
              </w:rPr>
              <w:t>整体而言，通威将继续以质量为先、技术为本，在全球清洁能源革命中贡献中国智慧，我们不仅要销售光伏产品，更要输出绿色能源解决方案，让高效、可靠、可持续的光伏产品服务于全人类美好生活。谢谢！</w:t>
            </w:r>
          </w:p>
          <w:p>
            <w:pPr>
              <w:pStyle w:val="7"/>
              <w:keepNext w:val="0"/>
              <w:keepLines w:val="0"/>
              <w:pageBreakBefore w:val="0"/>
              <w:widowControl/>
              <w:numPr>
                <w:ilvl w:val="0"/>
                <w:numId w:val="3"/>
              </w:numPr>
              <w:kinsoku w:val="0"/>
              <w:wordWrap/>
              <w:overflowPunct/>
              <w:topLinePunct w:val="0"/>
              <w:autoSpaceDE w:val="0"/>
              <w:autoSpaceDN w:val="0"/>
              <w:bidi w:val="0"/>
              <w:adjustRightInd w:val="0"/>
              <w:snapToGrid w:val="0"/>
              <w:spacing w:before="0" w:beforeLines="50" w:line="329" w:lineRule="auto"/>
              <w:ind w:left="113" w:right="108" w:firstLine="505"/>
              <w:jc w:val="both"/>
              <w:textAlignment w:val="baseline"/>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公司管理层好，关注到2024年公司计提了固定资产减值，想请教下PERC相对应的资产是否减值完毕？此外2025年是否还有较大固定资产减值？</w:t>
            </w:r>
          </w:p>
          <w:p>
            <w:pPr>
              <w:pStyle w:val="7"/>
              <w:spacing w:before="36" w:line="329" w:lineRule="auto"/>
              <w:ind w:left="113" w:right="105" w:firstLine="503"/>
              <w:jc w:val="both"/>
              <w:rPr>
                <w:rFonts w:hint="eastAsia"/>
                <w:lang w:val="en-US" w:eastAsia="zh-CN"/>
              </w:rPr>
            </w:pPr>
            <w:r>
              <w:rPr>
                <w:rFonts w:hint="eastAsia"/>
                <w:lang w:val="en-US" w:eastAsia="zh-CN"/>
              </w:rPr>
              <w:t>答：感谢投资者提问。2024年公司固定资产减值损失共计7.49亿元，其中主要涉及无法通过技改升级至N型技术的PERC电池生产线及相关配套设施。须强调的是，公司在技术路线切换过程中始终保持前瞻性布局。2023年公司谨慎评估技术路线发展趋势与市场需求变化，对无法适应新一代技术要求的PERC电池产能进行了资产减值。2024年在N型技术加速渗透背景下，公司基于审慎经营原则，进一步对剩余P型产线做了减值处理。至此，公司P型电池产能已全部减值完毕，目前不存在进一步计提的财务基础。</w:t>
            </w:r>
          </w:p>
          <w:p>
            <w:pPr>
              <w:pStyle w:val="7"/>
              <w:spacing w:before="36" w:line="329" w:lineRule="auto"/>
              <w:ind w:left="113" w:right="105" w:firstLine="503"/>
              <w:jc w:val="both"/>
              <w:rPr>
                <w:rFonts w:hint="default" w:eastAsia="宋体"/>
                <w:lang w:val="en-US" w:eastAsia="zh-CN"/>
              </w:rPr>
            </w:pPr>
            <w:r>
              <w:rPr>
                <w:rFonts w:hint="eastAsia"/>
                <w:lang w:val="en-US" w:eastAsia="zh-CN"/>
              </w:rPr>
              <w:t>展望2025年，我们认为前两年公司固定资产减值计提已完整反映了P型到N型技术迭代的影响，固定资产减值风险已得到充分释放，且公司当前保留的电池产能均是处于行业技术领先地位的N型产能，目前</w:t>
            </w:r>
            <w:r>
              <w:rPr>
                <w:rFonts w:hint="eastAsia" w:ascii="宋体" w:hAnsi="宋体" w:eastAsia="宋体" w:cs="宋体"/>
                <w:snapToGrid w:val="0"/>
                <w:color w:val="000000"/>
                <w:sz w:val="24"/>
                <w:szCs w:val="24"/>
                <w:lang w:val="en-US" w:eastAsia="zh-CN" w:bidi="ar-SA"/>
              </w:rPr>
              <w:t>不存在减值迹象。谢谢！</w:t>
            </w:r>
          </w:p>
          <w:p>
            <w:pPr>
              <w:pStyle w:val="7"/>
              <w:keepNext w:val="0"/>
              <w:keepLines w:val="0"/>
              <w:pageBreakBefore w:val="0"/>
              <w:widowControl/>
              <w:numPr>
                <w:ilvl w:val="0"/>
                <w:numId w:val="3"/>
              </w:numPr>
              <w:kinsoku w:val="0"/>
              <w:wordWrap/>
              <w:overflowPunct/>
              <w:topLinePunct w:val="0"/>
              <w:autoSpaceDE w:val="0"/>
              <w:autoSpaceDN w:val="0"/>
              <w:bidi w:val="0"/>
              <w:adjustRightInd w:val="0"/>
              <w:snapToGrid w:val="0"/>
              <w:spacing w:before="0" w:beforeLines="50" w:line="329" w:lineRule="auto"/>
              <w:ind w:left="113" w:right="108" w:firstLine="505"/>
              <w:jc w:val="both"/>
              <w:textAlignment w:val="baseline"/>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近期部分光伏龙头企业纷纷下调了可转债转股价格，公司是否也会考虑下修转股价格？</w:t>
            </w:r>
          </w:p>
          <w:p>
            <w:pPr>
              <w:pStyle w:val="7"/>
              <w:spacing w:before="36" w:line="329" w:lineRule="auto"/>
              <w:ind w:left="113" w:right="105" w:firstLine="503"/>
              <w:jc w:val="both"/>
              <w:rPr>
                <w:rFonts w:hint="eastAsia"/>
                <w:lang w:val="en-US" w:eastAsia="zh-CN"/>
              </w:rPr>
            </w:pPr>
            <w:r>
              <w:rPr>
                <w:rFonts w:hint="eastAsia"/>
                <w:lang w:val="en-US" w:eastAsia="zh-CN"/>
              </w:rPr>
              <w:t>答：感谢您的提问。关于转股价格调整事项，公司将秉持审慎负责的态度，严格遵循法律法规及《公司章程》的相关规定，充分考量市场环境、行业发展趋势及全体股东利益后做出决策。根据此前公司第八届董事会第二十三次会议决议，因触发“通22转债”转股价格向下修正条件，公司经综合研判后决定不下修转股价格，且在该董事会决议后六个月内，即2025年6月19日前不提出下修方案。</w:t>
            </w:r>
          </w:p>
          <w:p>
            <w:pPr>
              <w:pStyle w:val="7"/>
              <w:spacing w:before="36" w:line="329" w:lineRule="auto"/>
              <w:ind w:left="113" w:right="105" w:firstLine="503"/>
              <w:jc w:val="both"/>
              <w:rPr>
                <w:rFonts w:hint="eastAsia"/>
                <w:spacing w:val="-2"/>
                <w:lang w:val="en-US" w:eastAsia="zh-CN"/>
              </w:rPr>
            </w:pPr>
            <w:r>
              <w:rPr>
                <w:rFonts w:hint="eastAsia"/>
                <w:lang w:val="en-US" w:eastAsia="zh-CN"/>
              </w:rPr>
              <w:t>目前公司主营业务经营稳健，2024年度虽受行业结构性调整影响，但全年仍维持经营性现金净流入，一季度末货币资金与交易性金融资产合计在400亿元左右，流动性充足。未来若“通22转债”再次触及下修条件，公司将严格依照相关规则及时履行审议程序，并结合彼时公司财务指标及股价表现等多维度动态评估，充分平衡股东与债权持有人权益，以合法合规为前提做出最优选择。公司会持续关注转债市场动态，保持与投资者的透明沟通，确保信息披露的及时性和准确性，切实维护全体股东合法权益。谢谢！</w:t>
            </w:r>
          </w:p>
          <w:p>
            <w:pPr>
              <w:pStyle w:val="7"/>
              <w:keepNext w:val="0"/>
              <w:keepLines w:val="0"/>
              <w:pageBreakBefore w:val="0"/>
              <w:widowControl/>
              <w:numPr>
                <w:ilvl w:val="0"/>
                <w:numId w:val="3"/>
              </w:numPr>
              <w:kinsoku w:val="0"/>
              <w:wordWrap/>
              <w:overflowPunct/>
              <w:topLinePunct w:val="0"/>
              <w:autoSpaceDE w:val="0"/>
              <w:autoSpaceDN w:val="0"/>
              <w:bidi w:val="0"/>
              <w:adjustRightInd w:val="0"/>
              <w:snapToGrid w:val="0"/>
              <w:spacing w:before="0" w:beforeLines="50" w:line="329" w:lineRule="auto"/>
              <w:ind w:left="113" w:right="108" w:firstLine="505"/>
              <w:jc w:val="both"/>
              <w:textAlignment w:val="baseline"/>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请公司介绍下HJT中试线最新进展，在成本端是否已经逼近TOPCon技术？</w:t>
            </w:r>
          </w:p>
          <w:p>
            <w:pPr>
              <w:pStyle w:val="7"/>
              <w:spacing w:before="36" w:line="329" w:lineRule="auto"/>
              <w:ind w:left="113" w:right="105" w:firstLine="503"/>
              <w:jc w:val="both"/>
              <w:rPr>
                <w:rFonts w:hint="eastAsia"/>
                <w:lang w:val="en-US" w:eastAsia="zh-CN"/>
              </w:rPr>
            </w:pPr>
            <w:r>
              <w:rPr>
                <w:rFonts w:hint="eastAsia"/>
                <w:lang w:val="en-US" w:eastAsia="zh-CN"/>
              </w:rPr>
              <w:t>答：感谢投资者的提问，公司1GW-HJT中试线于2024年6月顺利下线，作为行业首条单线产能达到1GW的中试线，承载了HJT前沿设备、技术方案验证工作。目前中试进展取得积极成果，HJT 210-66 版型组件功率连续 9 次打破世界纪录，最高组件功率已达790.8W，对应组件效率25.46%，同时中试线平均组件功率也已突破740W，并在持续提升中，可以说目前在功率端公司HJT领先同时期的TOPCon，也领先市场其它竞争对手。</w:t>
            </w:r>
          </w:p>
          <w:p>
            <w:pPr>
              <w:pStyle w:val="7"/>
              <w:spacing w:before="36" w:line="329" w:lineRule="auto"/>
              <w:ind w:left="113" w:right="105" w:firstLine="503"/>
              <w:jc w:val="both"/>
              <w:rPr>
                <w:rFonts w:hint="default" w:cs="宋体"/>
                <w:sz w:val="24"/>
                <w:szCs w:val="24"/>
                <w:lang w:val="en-US" w:eastAsia="zh-CN"/>
              </w:rPr>
            </w:pPr>
            <w:r>
              <w:rPr>
                <w:rFonts w:hint="eastAsia"/>
                <w:lang w:val="en-US" w:eastAsia="zh-CN"/>
              </w:rPr>
              <w:t>单就成本端，HJT目前非硅成本基于理论量产测算仍然显著高于行业内最先进的TOPCon产能，包括其靶材、设备投资等成本仍然居高不下，虽然HJT降本增效我们都找到了清晰的路径，但同时TOPCon也在持续进步，刚刚也提到今年我们TNC 2.0组件还有25W的提升空间，最终我们还是需要基于全生命周期里的度电成本对两种技术进行动态评估，而不能仅仅关注非硅成本或组件功率一个指标。谢谢！</w:t>
            </w:r>
          </w:p>
        </w:tc>
      </w:tr>
    </w:tbl>
    <w:p>
      <w:pPr>
        <w:spacing w:line="91" w:lineRule="auto"/>
        <w:rPr>
          <w:sz w:val="2"/>
          <w:lang w:eastAsia="zh-CN"/>
        </w:rPr>
      </w:pPr>
    </w:p>
    <w:sectPr>
      <w:pgSz w:w="11907" w:h="16839"/>
      <w:pgMar w:top="1431" w:right="1785" w:bottom="1429"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Narrow">
    <w:panose1 w:val="020B0606020202030204"/>
    <w:charset w:val="00"/>
    <w:family w:val="auto"/>
    <w:pitch w:val="default"/>
    <w:sig w:usb0="00000287" w:usb1="000008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4541E"/>
    <w:multiLevelType w:val="singleLevel"/>
    <w:tmpl w:val="B184541E"/>
    <w:lvl w:ilvl="0" w:tentative="0">
      <w:start w:val="2"/>
      <w:numFmt w:val="decimal"/>
      <w:suff w:val="nothing"/>
      <w:lvlText w:val="%1、"/>
      <w:lvlJc w:val="left"/>
    </w:lvl>
  </w:abstractNum>
  <w:abstractNum w:abstractNumId="1">
    <w:nsid w:val="30EC01F0"/>
    <w:multiLevelType w:val="multilevel"/>
    <w:tmpl w:val="30EC01F0"/>
    <w:lvl w:ilvl="0" w:tentative="0">
      <w:start w:val="1"/>
      <w:numFmt w:val="decimal"/>
      <w:lvlText w:val="%1."/>
      <w:lvlJc w:val="left"/>
      <w:pPr>
        <w:ind w:left="496" w:hanging="360"/>
      </w:pPr>
      <w:rPr>
        <w:rFonts w:hint="default"/>
      </w:rPr>
    </w:lvl>
    <w:lvl w:ilvl="1" w:tentative="0">
      <w:start w:val="1"/>
      <w:numFmt w:val="lowerLetter"/>
      <w:lvlText w:val="%2)"/>
      <w:lvlJc w:val="left"/>
      <w:pPr>
        <w:ind w:left="1016" w:hanging="440"/>
      </w:pPr>
    </w:lvl>
    <w:lvl w:ilvl="2" w:tentative="0">
      <w:start w:val="1"/>
      <w:numFmt w:val="lowerRoman"/>
      <w:lvlText w:val="%3."/>
      <w:lvlJc w:val="right"/>
      <w:pPr>
        <w:ind w:left="1456" w:hanging="440"/>
      </w:pPr>
    </w:lvl>
    <w:lvl w:ilvl="3" w:tentative="0">
      <w:start w:val="1"/>
      <w:numFmt w:val="decimal"/>
      <w:lvlText w:val="%4."/>
      <w:lvlJc w:val="left"/>
      <w:pPr>
        <w:ind w:left="1896" w:hanging="440"/>
      </w:pPr>
    </w:lvl>
    <w:lvl w:ilvl="4" w:tentative="0">
      <w:start w:val="1"/>
      <w:numFmt w:val="lowerLetter"/>
      <w:lvlText w:val="%5)"/>
      <w:lvlJc w:val="left"/>
      <w:pPr>
        <w:ind w:left="2336" w:hanging="440"/>
      </w:pPr>
    </w:lvl>
    <w:lvl w:ilvl="5" w:tentative="0">
      <w:start w:val="1"/>
      <w:numFmt w:val="lowerRoman"/>
      <w:lvlText w:val="%6."/>
      <w:lvlJc w:val="right"/>
      <w:pPr>
        <w:ind w:left="2776" w:hanging="440"/>
      </w:pPr>
    </w:lvl>
    <w:lvl w:ilvl="6" w:tentative="0">
      <w:start w:val="1"/>
      <w:numFmt w:val="decimal"/>
      <w:lvlText w:val="%7."/>
      <w:lvlJc w:val="left"/>
      <w:pPr>
        <w:ind w:left="3216" w:hanging="440"/>
      </w:pPr>
    </w:lvl>
    <w:lvl w:ilvl="7" w:tentative="0">
      <w:start w:val="1"/>
      <w:numFmt w:val="lowerLetter"/>
      <w:lvlText w:val="%8)"/>
      <w:lvlJc w:val="left"/>
      <w:pPr>
        <w:ind w:left="3656" w:hanging="440"/>
      </w:pPr>
    </w:lvl>
    <w:lvl w:ilvl="8" w:tentative="0">
      <w:start w:val="1"/>
      <w:numFmt w:val="lowerRoman"/>
      <w:lvlText w:val="%9."/>
      <w:lvlJc w:val="right"/>
      <w:pPr>
        <w:ind w:left="4096" w:hanging="440"/>
      </w:pPr>
    </w:lvl>
  </w:abstractNum>
  <w:abstractNum w:abstractNumId="2">
    <w:nsid w:val="64133245"/>
    <w:multiLevelType w:val="singleLevel"/>
    <w:tmpl w:val="64133245"/>
    <w:lvl w:ilvl="0" w:tentative="0">
      <w:start w:val="7"/>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U0ZGJhNzlkMDMzZjE2ZWYzNjNkNTY0NGM4NDU5NTkifQ=="/>
  </w:docVars>
  <w:rsids>
    <w:rsidRoot w:val="00132B6D"/>
    <w:rsid w:val="00132B6D"/>
    <w:rsid w:val="00331F12"/>
    <w:rsid w:val="003A6CFD"/>
    <w:rsid w:val="00683645"/>
    <w:rsid w:val="007F42C5"/>
    <w:rsid w:val="0091362C"/>
    <w:rsid w:val="009F4741"/>
    <w:rsid w:val="00A9039C"/>
    <w:rsid w:val="00AB4538"/>
    <w:rsid w:val="00C317EF"/>
    <w:rsid w:val="00C429A0"/>
    <w:rsid w:val="00C508A0"/>
    <w:rsid w:val="00E051F7"/>
    <w:rsid w:val="00EE2C33"/>
    <w:rsid w:val="00F72996"/>
    <w:rsid w:val="00F979D6"/>
    <w:rsid w:val="0B225DFB"/>
    <w:rsid w:val="12C63575"/>
    <w:rsid w:val="180327A7"/>
    <w:rsid w:val="18B01199"/>
    <w:rsid w:val="25D063A7"/>
    <w:rsid w:val="294871F6"/>
    <w:rsid w:val="300F4032"/>
    <w:rsid w:val="32956289"/>
    <w:rsid w:val="37965BD5"/>
    <w:rsid w:val="38AE4472"/>
    <w:rsid w:val="39D52E80"/>
    <w:rsid w:val="3B507E5D"/>
    <w:rsid w:val="3B77553C"/>
    <w:rsid w:val="3DEE79DD"/>
    <w:rsid w:val="3F0142EA"/>
    <w:rsid w:val="41647664"/>
    <w:rsid w:val="4D960169"/>
    <w:rsid w:val="54CA6DEF"/>
    <w:rsid w:val="587E2868"/>
    <w:rsid w:val="657D7A00"/>
    <w:rsid w:val="65D75D9B"/>
    <w:rsid w:val="66522FDF"/>
    <w:rsid w:val="6B7878AD"/>
    <w:rsid w:val="6DD16EDF"/>
    <w:rsid w:val="79CB43E5"/>
    <w:rsid w:val="7CD05C51"/>
    <w:rsid w:val="7E80031E"/>
    <w:rsid w:val="7EA46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pPr>
    <w:rPr>
      <w:sz w:val="18"/>
      <w:szCs w:val="18"/>
    </w:rPr>
  </w:style>
  <w:style w:type="paragraph" w:styleId="3">
    <w:name w:val="header"/>
    <w:basedOn w:val="1"/>
    <w:link w:val="8"/>
    <w:autoRedefine/>
    <w:unhideWhenUsed/>
    <w:qFormat/>
    <w:uiPriority w:val="99"/>
    <w:pPr>
      <w:tabs>
        <w:tab w:val="center" w:pos="4153"/>
        <w:tab w:val="right" w:pos="8306"/>
      </w:tabs>
      <w:jc w:val="center"/>
    </w:pPr>
    <w:rPr>
      <w:sz w:val="18"/>
      <w:szCs w:val="18"/>
    </w:r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宋体" w:hAnsi="宋体" w:eastAsia="宋体" w:cs="宋体"/>
      <w:sz w:val="24"/>
      <w:szCs w:val="24"/>
    </w:rPr>
  </w:style>
  <w:style w:type="character" w:customStyle="1" w:styleId="8">
    <w:name w:val="页眉 字符"/>
    <w:basedOn w:val="5"/>
    <w:link w:val="3"/>
    <w:autoRedefine/>
    <w:qFormat/>
    <w:uiPriority w:val="99"/>
    <w:rPr>
      <w:sz w:val="18"/>
      <w:szCs w:val="18"/>
    </w:rPr>
  </w:style>
  <w:style w:type="character" w:customStyle="1" w:styleId="9">
    <w:name w:val="页脚 字符"/>
    <w:basedOn w:val="5"/>
    <w:link w:val="2"/>
    <w:autoRedefine/>
    <w:qFormat/>
    <w:uiPriority w:val="99"/>
    <w:rPr>
      <w:sz w:val="18"/>
      <w:szCs w:val="18"/>
    </w:r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955</Words>
  <Characters>976</Characters>
  <Lines>33</Lines>
  <Paragraphs>17</Paragraphs>
  <TotalTime>55</TotalTime>
  <ScaleCrop>false</ScaleCrop>
  <LinksUpToDate>false</LinksUpToDate>
  <CharactersWithSpaces>1914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2022-05-06T15:20:00Z</dcterms:created>
  <dc:creator>毋晓妮</dc:creator>
  <cp:lastModifiedBy>钟秋实</cp:lastModifiedBy>
  <cp:lastPrinted>2024-06-04T09:34:00Z</cp:lastPrinted>
  <dcterms:modified xsi:type="dcterms:W3CDTF">2025-05-20T00:47:55Z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2024-05-03T16:40:34Z</vt:filetime>
  </property>
  <property fmtid="{D5CDD505-2E9C-101B-9397-08002B2CF9AE}" pid="4" name="KSOProductBuildVer">
    <vt:lpwstr>2052-12.1.0.16729</vt:lpwstr>
  </property>
  <property fmtid="{D5CDD505-2E9C-101B-9397-08002B2CF9AE}" pid="5" name="ICV">
    <vt:lpwstr>ACF9FDB3F675479B83E8232BB1B90BAF_13</vt:lpwstr>
  </property>
</Properties>
</file>