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F7F93">
      <w:pPr>
        <w:keepNext/>
        <w:keepLines/>
        <w:spacing w:before="260" w:after="260" w:line="360" w:lineRule="auto"/>
        <w:outlineLvl w:val="1"/>
        <w:rPr>
          <w:rFonts w:hint="eastAsia" w:ascii="宋体" w:hAnsi="宋体"/>
          <w:b/>
          <w:bCs/>
          <w:iCs/>
          <w:sz w:val="24"/>
          <w:szCs w:val="24"/>
        </w:rPr>
      </w:pPr>
      <w:r>
        <w:rPr>
          <w:rFonts w:hint="eastAsia" w:ascii="宋体" w:hAnsi="宋体"/>
          <w:b/>
          <w:bCs/>
          <w:iCs/>
          <w:sz w:val="24"/>
          <w:szCs w:val="24"/>
        </w:rPr>
        <w:t>证券代码：688621                                证券简称：阳光诺和</w:t>
      </w:r>
    </w:p>
    <w:p w14:paraId="193C9A26">
      <w:pPr>
        <w:keepNext/>
        <w:keepLines/>
        <w:spacing w:before="20" w:after="20"/>
        <w:jc w:val="center"/>
        <w:outlineLvl w:val="1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北京阳光诺和药物研究</w:t>
      </w:r>
      <w:r>
        <w:rPr>
          <w:rFonts w:hint="eastAsia" w:ascii="宋体" w:hAnsi="宋体"/>
          <w:b/>
          <w:bCs/>
          <w:sz w:val="36"/>
          <w:szCs w:val="36"/>
        </w:rPr>
        <w:t>股份有限公司</w:t>
      </w:r>
    </w:p>
    <w:p w14:paraId="1DE76FD4">
      <w:pPr>
        <w:keepNext/>
        <w:keepLines/>
        <w:spacing w:before="20" w:after="20"/>
        <w:jc w:val="center"/>
        <w:outlineLvl w:val="1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投资者关系活动记录表</w:t>
      </w:r>
    </w:p>
    <w:p w14:paraId="1D3EAABF">
      <w:pPr>
        <w:spacing w:line="360" w:lineRule="auto"/>
        <w:jc w:val="center"/>
        <w:rPr>
          <w:rFonts w:ascii="宋体" w:hAnsi="宋体"/>
          <w:b/>
          <w:iCs/>
          <w:sz w:val="24"/>
          <w:szCs w:val="24"/>
        </w:rPr>
      </w:pPr>
      <w:r>
        <w:rPr>
          <w:rFonts w:hint="eastAsia" w:ascii="宋体" w:hAnsi="宋体"/>
          <w:b/>
          <w:iCs/>
          <w:sz w:val="24"/>
          <w:szCs w:val="24"/>
        </w:rPr>
        <w:t>（20</w:t>
      </w:r>
      <w:r>
        <w:rPr>
          <w:rFonts w:ascii="宋体" w:hAnsi="宋体"/>
          <w:b/>
          <w:iCs/>
          <w:sz w:val="24"/>
          <w:szCs w:val="24"/>
        </w:rPr>
        <w:t>2</w:t>
      </w:r>
      <w:r>
        <w:rPr>
          <w:rFonts w:hint="eastAsia" w:ascii="宋体" w:hAnsi="宋体"/>
          <w:b/>
          <w:i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iCs/>
          <w:sz w:val="24"/>
          <w:szCs w:val="24"/>
        </w:rPr>
        <w:t>年</w:t>
      </w:r>
      <w:r>
        <w:rPr>
          <w:rFonts w:hint="eastAsia" w:ascii="宋体" w:hAnsi="宋体"/>
          <w:b/>
          <w:i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iCs/>
          <w:sz w:val="24"/>
          <w:szCs w:val="24"/>
        </w:rPr>
        <w:t>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203"/>
      </w:tblGrid>
      <w:tr w14:paraId="2F97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 w14:paraId="199D38DD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203" w:type="dxa"/>
            <w:noWrap w:val="0"/>
            <w:vAlign w:val="center"/>
          </w:tcPr>
          <w:p w14:paraId="4936C92A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特定对象调研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分析师会议</w:t>
            </w:r>
          </w:p>
          <w:p w14:paraId="39B80EF3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>业绩说明会</w:t>
            </w:r>
          </w:p>
          <w:p w14:paraId="7EBD013F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路演活动</w:t>
            </w:r>
          </w:p>
          <w:p w14:paraId="51719483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14:paraId="232496E4">
            <w:pPr>
              <w:tabs>
                <w:tab w:val="center" w:pos="3199"/>
              </w:tabs>
              <w:spacing w:line="360" w:lineRule="auto"/>
              <w:rPr>
                <w:rFonts w:hint="eastAsia"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其他（电话会议）</w:t>
            </w:r>
          </w:p>
        </w:tc>
      </w:tr>
      <w:tr w14:paraId="622A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 w14:paraId="72B2D1E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203" w:type="dxa"/>
            <w:noWrap w:val="0"/>
            <w:vAlign w:val="top"/>
          </w:tcPr>
          <w:p w14:paraId="7CE61A69"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20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 xml:space="preserve"> 11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0</w:t>
            </w:r>
          </w:p>
        </w:tc>
      </w:tr>
      <w:tr w14:paraId="63BC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 w14:paraId="1A8094E6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bookmarkStart w:id="0" w:name="OLE_LINK2" w:colFirst="0" w:colLast="1"/>
            <w:bookmarkStart w:id="1" w:name="OLE_LINK1" w:colFirst="0" w:colLast="1"/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203" w:type="dxa"/>
            <w:noWrap w:val="0"/>
            <w:vAlign w:val="top"/>
          </w:tcPr>
          <w:p w14:paraId="326BC5A2">
            <w:pPr>
              <w:spacing w:line="360" w:lineRule="auto"/>
              <w:rPr>
                <w:rFonts w:hint="default" w:ascii="宋体" w:hAnsi="宋体" w:eastAsia="宋体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上证路演中心 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</w:rPr>
              <w:instrText xml:space="preserve"> HYPERLINK "https://roadshow.sseinfo.com" </w:instrTex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24"/>
                <w:szCs w:val="24"/>
              </w:rPr>
              <w:t>https://roadshow.sseinfo.com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bookmarkEnd w:id="0"/>
      <w:tr w14:paraId="2448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 w14:paraId="3FEB7A8D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bookmarkStart w:id="2" w:name="OLE_LINK3" w:colFirst="0" w:colLast="1"/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203" w:type="dxa"/>
            <w:noWrap w:val="0"/>
            <w:vAlign w:val="center"/>
          </w:tcPr>
          <w:p w14:paraId="3798121D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阳光诺和董事长：利虔先生</w:t>
            </w:r>
          </w:p>
          <w:p w14:paraId="44902FF3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阳光诺和董事、总经理：刘宇晶先生</w:t>
            </w:r>
          </w:p>
          <w:p w14:paraId="2C70D5D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阳光诺和董事、财务总监：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张执交</w:t>
            </w:r>
            <w:r>
              <w:rPr>
                <w:rFonts w:hint="eastAsia" w:ascii="宋体" w:hAnsi="宋体"/>
                <w:sz w:val="24"/>
              </w:rPr>
              <w:t>先生</w:t>
            </w:r>
          </w:p>
          <w:p w14:paraId="178F5C87"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阳光诺和董事会秘书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魏丽萍女士</w:t>
            </w:r>
          </w:p>
        </w:tc>
      </w:tr>
      <w:bookmarkEnd w:id="1"/>
      <w:bookmarkEnd w:id="2"/>
      <w:tr w14:paraId="276D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 w14:paraId="0394FAC4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203" w:type="dxa"/>
            <w:noWrap w:val="0"/>
            <w:vAlign w:val="top"/>
          </w:tcPr>
          <w:p w14:paraId="5F82821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bookmarkStart w:id="3" w:name="OLE_LINK6"/>
            <w:r>
              <w:rPr>
                <w:rFonts w:hint="eastAsia" w:ascii="宋体" w:hAnsi="宋体" w:cs="宋体"/>
                <w:sz w:val="24"/>
                <w:szCs w:val="24"/>
              </w:rPr>
              <w:t>公司在上海证券交易所、上证所信息网络有限公司的支持</w:t>
            </w:r>
          </w:p>
          <w:p w14:paraId="65D5C4B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下，在上证路演中心(http://roadshow.sseinfo.com)召开了线上业绩说明会，说明会流程包括：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管理层介绍</w:t>
            </w:r>
            <w:r>
              <w:rPr>
                <w:rFonts w:hint="eastAsia" w:ascii="宋体" w:hAnsi="宋体" w:cs="宋体"/>
                <w:sz w:val="24"/>
                <w:szCs w:val="24"/>
              </w:rPr>
              <w:t>与在线回复投资者问题。</w:t>
            </w:r>
          </w:p>
          <w:bookmarkEnd w:id="3"/>
          <w:p w14:paraId="72A7F636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问答环节情况如下：</w:t>
            </w:r>
          </w:p>
          <w:p w14:paraId="6110F078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i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iCs/>
                <w:sz w:val="24"/>
                <w:szCs w:val="24"/>
              </w:rPr>
              <w:t>公司 2025 年第一季度研发投入情况如何，研发投入增加对公司未来发展有何意义？</w:t>
            </w:r>
          </w:p>
          <w:p w14:paraId="77C223D7">
            <w:pPr>
              <w:spacing w:line="360" w:lineRule="auto"/>
              <w:ind w:firstLine="482" w:firstLineChars="20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iCs/>
                <w:sz w:val="24"/>
                <w:szCs w:val="24"/>
              </w:rPr>
              <w:t>回复：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您好！2025Q1 研发投入为 3772.95 万元，同比增长 7.90%，研发投入占营业收入的比例为 16.34%，较去年同期增加 2.48 个百分点。持续增加的研发投入，是公司坚定推进创新转型战略的有力证明。这有助于公司不断丰富产品管线，在创新药、改良型新药和特殊剂型仿制药等领域持续提升研发实力。大量的研发投入将为公司储备众多具有市场潜力的项目，为未来的业绩增长注入强大动力，进一步巩固公司在行业内的技术领先地位，增强核心竞争力，在未来激</w:t>
            </w:r>
            <w:bookmarkStart w:id="4" w:name="_GoBack"/>
            <w:bookmarkEnd w:id="4"/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烈的市场竞争中脱颖而出。谢谢！</w:t>
            </w:r>
          </w:p>
          <w:p w14:paraId="1DD6D20D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iCs/>
                <w:sz w:val="24"/>
                <w:szCs w:val="24"/>
                <w:lang w:val="en-US" w:eastAsia="zh-CN"/>
              </w:rPr>
              <w:t>2.阳光诺和拟收购朗研生命 100% 股权，此次收购的目的和战略意义是什么？</w:t>
            </w:r>
          </w:p>
          <w:p w14:paraId="7E70FC5C">
            <w:pPr>
              <w:spacing w:line="360" w:lineRule="auto"/>
              <w:ind w:firstLine="482" w:firstLineChars="200"/>
              <w:rPr>
                <w:rFonts w:hint="eastAsia" w:ascii="宋体" w:hAnsi="宋体"/>
                <w:b w:val="0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iCs/>
                <w:sz w:val="24"/>
                <w:szCs w:val="24"/>
              </w:rPr>
              <w:t>回复：</w:t>
            </w:r>
            <w:r>
              <w:rPr>
                <w:rFonts w:hint="eastAsia" w:ascii="宋体" w:hAnsi="宋体"/>
                <w:b w:val="0"/>
                <w:bCs/>
                <w:iCs/>
                <w:sz w:val="24"/>
                <w:szCs w:val="24"/>
              </w:rPr>
              <w:t>您好，此次收购目的明确，旨在充分发挥双方的上下游协同优势。阳光诺和拥有强大的研发能力，朗研生命具备成熟的生产销售体系，二者结合能够促进公司自研产品快速落地，打造新的盈利增长点。从战略意义上讲，公司将成功拓展医药工业板块业务，构建 “CRO + 医药工业” 的完善产业布局。收购朗研后，未来能为阳光诺和带来持续的经营性现金和利润，缓解收入的不确定性，阳光诺和的产品能够形成梯队，形成现金流的良性循环后，将有更多的资金投入到早期研发中，为开发世界级药物奠定基础。这不仅能大幅提高公司的盈利能力，还能增强抗风险能力，减少关联交易，进一步完善公司战略布局，提升公司在行业内的综合竞争力，为公司的长期稳定发展奠定坚实基础。谢谢！</w:t>
            </w:r>
          </w:p>
          <w:p w14:paraId="7E7537A2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iCs/>
                <w:sz w:val="24"/>
                <w:szCs w:val="24"/>
                <w:lang w:val="en-US" w:eastAsia="zh-CN"/>
              </w:rPr>
              <w:t>3.收购完成后，阳光诺和将如何整合朗研生命的业务，实现协同发展？</w:t>
            </w:r>
          </w:p>
          <w:p w14:paraId="54EBEED9">
            <w:pPr>
              <w:spacing w:line="360" w:lineRule="auto"/>
              <w:ind w:firstLine="482" w:firstLineChars="20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iCs/>
                <w:sz w:val="24"/>
                <w:szCs w:val="24"/>
              </w:rPr>
              <w:t>回复：</w:t>
            </w:r>
            <w:r>
              <w:rPr>
                <w:rFonts w:hint="eastAsia" w:ascii="宋体" w:hAnsi="宋体"/>
                <w:b w:val="0"/>
                <w:bCs/>
                <w:iCs/>
                <w:sz w:val="24"/>
                <w:szCs w:val="24"/>
              </w:rPr>
              <w:t>您好！收购完成后，公司将着手整合双方的研发团队，共享研发资源与技术平台。这将充分发挥阳光诺和在创新药研发方面的优势，并结合朗研生命在高端化学药、原料药等领域的丰富生产经验，以优化产品管线孵化流程，从而加速项目的推进。在生产环节，我们将利用朗研生命的高效生产体系，将阳光诺和的研发成果迅速转化为产品，以提升生产效率和产品质量。通过这些措施，我们期望实现1+1</w:t>
            </w:r>
            <w:r>
              <w:rPr>
                <w:rFonts w:hint="eastAsia" w:ascii="宋体" w:hAnsi="宋体"/>
                <w:b w:val="0"/>
                <w:bCs/>
                <w:iCs/>
                <w:sz w:val="24"/>
                <w:szCs w:val="24"/>
                <w:lang w:val="en-US" w:eastAsia="zh-CN"/>
              </w:rPr>
              <w:t>＞</w:t>
            </w:r>
            <w:r>
              <w:rPr>
                <w:rFonts w:hint="eastAsia" w:ascii="宋体" w:hAnsi="宋体"/>
                <w:b w:val="0"/>
                <w:bCs/>
                <w:iCs/>
                <w:sz w:val="24"/>
                <w:szCs w:val="24"/>
              </w:rPr>
              <w:t>2的协同效应，共同推动公司业绩的快速增长，并提升公司在行业内的市场份额与影响力。</w:t>
            </w:r>
          </w:p>
          <w:p w14:paraId="309D2A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i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b/>
                <w:iCs/>
                <w:sz w:val="24"/>
                <w:szCs w:val="24"/>
              </w:rPr>
              <w:t>阳光诺和在创新药研发方面有哪些突出进展和成果？</w:t>
            </w:r>
          </w:p>
          <w:p w14:paraId="36C91E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iCs/>
                <w:sz w:val="24"/>
                <w:szCs w:val="24"/>
              </w:rPr>
              <w:t>回复：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您好！ 公司目前有数十项创新产品处于研发阶段，广泛覆盖自免、疼痛管理、心内、中枢神经、肿瘤、代谢、呼吸等多个治疗领域。比如，在多肽创新药管线布局上成果显著，已建立自主多肽创新药物建库筛选体系和特色品种适应症管线布局，形成分子结构创新与制剂创新相结合的滚动体系和专利集群布局。截止2024年年报披露日，公司自研创新药STC007 用于术后镇痛和肾病相关瘙痒的2期临床试验正在开展；STC008 针对癌症恶病质正处于1期临床试验阶段。这些创新药研发的推进，为公司未来的业绩增长奠定了坚实基础，有望在相关治疗领域占据领先地位。</w:t>
            </w:r>
          </w:p>
          <w:p w14:paraId="09C05DB7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i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/>
                <w:b/>
                <w:iCs/>
                <w:sz w:val="24"/>
                <w:szCs w:val="24"/>
              </w:rPr>
              <w:t>公司在改良型新药研发领域的技术平台有哪些优势？</w:t>
            </w:r>
          </w:p>
          <w:p w14:paraId="5567B66A">
            <w:pPr>
              <w:spacing w:line="360" w:lineRule="auto"/>
              <w:ind w:firstLine="482" w:firstLineChars="20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iCs/>
                <w:sz w:val="24"/>
                <w:szCs w:val="24"/>
              </w:rPr>
              <w:t>回复：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您好！阳光诺和专注于缓控释制剂和高端制剂的研发，拥有包括口服缓控释递送系统技术平台、纳米递送系统技术平台在内的多个技术平台。这些平台能够根据药物的不同特性设计出个性化的缓释技术，显著提升药物的性能。以改良型新药研发中的复杂缓释注射剂技术平台为例，它能有效延长药物的作用时间，降低患者的用药频率，同时提高药物的疗效和安全性。目前，公司已有3款口服缓释制剂进入临床阶段，另有4款计划在2025年提交新药临床试验申请（IND）。这些先进的技术平台为公司的产品研发提供了坚实的支持，有助于公司在改良型新药市场中占据有利地位，进一步提升市场份额。</w:t>
            </w:r>
          </w:p>
          <w:p w14:paraId="29D5DC01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iCs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/>
                <w:b/>
                <w:iCs/>
                <w:sz w:val="24"/>
                <w:szCs w:val="24"/>
              </w:rPr>
              <w:t>此次股权激励计划授予 272 万股限制性股票，对公司和员工会产生怎样的影响？</w:t>
            </w:r>
          </w:p>
          <w:p w14:paraId="06063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firstLine="482" w:firstLineChars="200"/>
              <w:textAlignment w:val="auto"/>
              <w:rPr>
                <w:rFonts w:hint="default" w:ascii="宋体" w:hAnsi="宋体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iCs/>
                <w:sz w:val="24"/>
                <w:szCs w:val="24"/>
              </w:rPr>
              <w:t>回复：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尊敬的投资者您好，对公司而言，通过股权激励，能够有效吸引和留住董事、高级管理人员和核心技术人员等关键人才，将员工个人利益与公司长期发展深度绑定。员工为了实现自身的股权激励收益，会更加积极主动地投入工作，提升工作效率，推动公司业绩持续增长。同时，这也将极大地增强团队的凝聚力和稳定性，促进公司战略目标的顺利实现。对员工来说，股权激励让他们切实成为公司发展的受益者，增强了归属感和忠诚度，激励他们不断提升自身能力，与公司共同成长，共享公司发展带来的红利。谢谢。</w:t>
            </w:r>
          </w:p>
        </w:tc>
      </w:tr>
      <w:tr w14:paraId="4A63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93" w:type="dxa"/>
            <w:noWrap w:val="0"/>
            <w:vAlign w:val="center"/>
          </w:tcPr>
          <w:p w14:paraId="49E359F1">
            <w:pPr>
              <w:spacing w:line="360" w:lineRule="auto"/>
              <w:jc w:val="lef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203" w:type="dxa"/>
            <w:noWrap w:val="0"/>
            <w:vAlign w:val="top"/>
          </w:tcPr>
          <w:p w14:paraId="41A5291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无</w:t>
            </w:r>
          </w:p>
        </w:tc>
      </w:tr>
      <w:tr w14:paraId="5D6C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 w14:paraId="717A6FD2">
            <w:pPr>
              <w:spacing w:line="360" w:lineRule="auto"/>
              <w:jc w:val="lef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203" w:type="dxa"/>
            <w:noWrap w:val="0"/>
            <w:vAlign w:val="top"/>
          </w:tcPr>
          <w:p w14:paraId="1087953D">
            <w:pPr>
              <w:spacing w:line="360" w:lineRule="auto"/>
              <w:rPr>
                <w:rFonts w:hint="eastAsia"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20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日</w:t>
            </w:r>
          </w:p>
        </w:tc>
      </w:tr>
    </w:tbl>
    <w:p w14:paraId="5C8906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MTRlOTE5NzU3Y2FhZmJjMTA4ODAwNjMyZWVhZDcifQ=="/>
  </w:docVars>
  <w:rsids>
    <w:rsidRoot w:val="52FF551A"/>
    <w:rsid w:val="00E31C19"/>
    <w:rsid w:val="01AC06BF"/>
    <w:rsid w:val="01CC4519"/>
    <w:rsid w:val="02290130"/>
    <w:rsid w:val="025F5A5E"/>
    <w:rsid w:val="026811C2"/>
    <w:rsid w:val="02BD318C"/>
    <w:rsid w:val="02DB7D7F"/>
    <w:rsid w:val="039A53E7"/>
    <w:rsid w:val="03D87218"/>
    <w:rsid w:val="042E4E66"/>
    <w:rsid w:val="051E3483"/>
    <w:rsid w:val="05537D54"/>
    <w:rsid w:val="05A32FB5"/>
    <w:rsid w:val="05BF4B6E"/>
    <w:rsid w:val="05F444DC"/>
    <w:rsid w:val="077953F5"/>
    <w:rsid w:val="07A52A97"/>
    <w:rsid w:val="08446DEB"/>
    <w:rsid w:val="09FE6266"/>
    <w:rsid w:val="0A414CDC"/>
    <w:rsid w:val="0A6D3DFC"/>
    <w:rsid w:val="0B5E16A9"/>
    <w:rsid w:val="0C612D69"/>
    <w:rsid w:val="0D174ABA"/>
    <w:rsid w:val="0DBE3551"/>
    <w:rsid w:val="0DCC4700"/>
    <w:rsid w:val="0E086001"/>
    <w:rsid w:val="0EB77202"/>
    <w:rsid w:val="0F824FAF"/>
    <w:rsid w:val="0FE77118"/>
    <w:rsid w:val="11866453"/>
    <w:rsid w:val="122E5DAC"/>
    <w:rsid w:val="12527029"/>
    <w:rsid w:val="12B62932"/>
    <w:rsid w:val="12DB5893"/>
    <w:rsid w:val="134A000D"/>
    <w:rsid w:val="13CF5910"/>
    <w:rsid w:val="144F54F1"/>
    <w:rsid w:val="14EC5248"/>
    <w:rsid w:val="14ED4281"/>
    <w:rsid w:val="15930D03"/>
    <w:rsid w:val="15AA2CEE"/>
    <w:rsid w:val="15B14D16"/>
    <w:rsid w:val="16DA51E9"/>
    <w:rsid w:val="17345A11"/>
    <w:rsid w:val="1839393F"/>
    <w:rsid w:val="190E77ED"/>
    <w:rsid w:val="1A0F1E47"/>
    <w:rsid w:val="1A2C70A7"/>
    <w:rsid w:val="1A547590"/>
    <w:rsid w:val="1B2D550F"/>
    <w:rsid w:val="1C524E00"/>
    <w:rsid w:val="1D0C17E5"/>
    <w:rsid w:val="1D74016F"/>
    <w:rsid w:val="1E121C15"/>
    <w:rsid w:val="1EBC241A"/>
    <w:rsid w:val="1F792F8D"/>
    <w:rsid w:val="1F983F69"/>
    <w:rsid w:val="1FAE3E0B"/>
    <w:rsid w:val="20BE1BE1"/>
    <w:rsid w:val="210274BB"/>
    <w:rsid w:val="216347EC"/>
    <w:rsid w:val="22F83CD2"/>
    <w:rsid w:val="2362320E"/>
    <w:rsid w:val="23910C76"/>
    <w:rsid w:val="23D01B44"/>
    <w:rsid w:val="23D06D2E"/>
    <w:rsid w:val="23EB5621"/>
    <w:rsid w:val="241427AF"/>
    <w:rsid w:val="249D14E3"/>
    <w:rsid w:val="24BB0950"/>
    <w:rsid w:val="256D51A0"/>
    <w:rsid w:val="26D51ECB"/>
    <w:rsid w:val="271625E5"/>
    <w:rsid w:val="273725B6"/>
    <w:rsid w:val="29093405"/>
    <w:rsid w:val="29706363"/>
    <w:rsid w:val="29DE4401"/>
    <w:rsid w:val="2AC65169"/>
    <w:rsid w:val="2AD401BA"/>
    <w:rsid w:val="2B061EFA"/>
    <w:rsid w:val="2B9F7FE4"/>
    <w:rsid w:val="2C535356"/>
    <w:rsid w:val="2CA85D23"/>
    <w:rsid w:val="2CB67043"/>
    <w:rsid w:val="2CE05AC2"/>
    <w:rsid w:val="2DCD4D3B"/>
    <w:rsid w:val="2E6F33D5"/>
    <w:rsid w:val="2EA00B62"/>
    <w:rsid w:val="2EA9018A"/>
    <w:rsid w:val="2F4F0EF9"/>
    <w:rsid w:val="2FA368BA"/>
    <w:rsid w:val="308E0410"/>
    <w:rsid w:val="30A2064A"/>
    <w:rsid w:val="31060FA7"/>
    <w:rsid w:val="31093612"/>
    <w:rsid w:val="31BF300D"/>
    <w:rsid w:val="32A42B73"/>
    <w:rsid w:val="32D27F68"/>
    <w:rsid w:val="33231F8D"/>
    <w:rsid w:val="33260499"/>
    <w:rsid w:val="332F655B"/>
    <w:rsid w:val="33687BF4"/>
    <w:rsid w:val="34E872B4"/>
    <w:rsid w:val="350D634B"/>
    <w:rsid w:val="36952F4E"/>
    <w:rsid w:val="36B70E22"/>
    <w:rsid w:val="36D92FB2"/>
    <w:rsid w:val="37467413"/>
    <w:rsid w:val="37787510"/>
    <w:rsid w:val="381776BB"/>
    <w:rsid w:val="387520F0"/>
    <w:rsid w:val="39D2147A"/>
    <w:rsid w:val="3A8D04C3"/>
    <w:rsid w:val="3A9F5F2A"/>
    <w:rsid w:val="3B237CC2"/>
    <w:rsid w:val="3B3C7B22"/>
    <w:rsid w:val="3B91445B"/>
    <w:rsid w:val="3C1E2FE5"/>
    <w:rsid w:val="3D3C6638"/>
    <w:rsid w:val="3D437946"/>
    <w:rsid w:val="3D81311B"/>
    <w:rsid w:val="3DFE4CB6"/>
    <w:rsid w:val="3E0B24F7"/>
    <w:rsid w:val="3E5C41A0"/>
    <w:rsid w:val="3EA2315F"/>
    <w:rsid w:val="3F135AFA"/>
    <w:rsid w:val="4224131E"/>
    <w:rsid w:val="422D34A0"/>
    <w:rsid w:val="441B0C05"/>
    <w:rsid w:val="459C63BF"/>
    <w:rsid w:val="45A55001"/>
    <w:rsid w:val="45E072A7"/>
    <w:rsid w:val="462A01A0"/>
    <w:rsid w:val="46333934"/>
    <w:rsid w:val="46A169FF"/>
    <w:rsid w:val="46F34D6A"/>
    <w:rsid w:val="480B4BB5"/>
    <w:rsid w:val="487D4171"/>
    <w:rsid w:val="488851C9"/>
    <w:rsid w:val="489D1235"/>
    <w:rsid w:val="48E21AEF"/>
    <w:rsid w:val="4A830B91"/>
    <w:rsid w:val="4AAF5236"/>
    <w:rsid w:val="4AB212D8"/>
    <w:rsid w:val="4B1A52D2"/>
    <w:rsid w:val="4B265D22"/>
    <w:rsid w:val="4BB85758"/>
    <w:rsid w:val="4C014C57"/>
    <w:rsid w:val="4C020555"/>
    <w:rsid w:val="4C1E0FC8"/>
    <w:rsid w:val="4C556F25"/>
    <w:rsid w:val="4C84793E"/>
    <w:rsid w:val="4D0E2637"/>
    <w:rsid w:val="4D6024B5"/>
    <w:rsid w:val="4D9C101F"/>
    <w:rsid w:val="4DF658A7"/>
    <w:rsid w:val="4EF8205F"/>
    <w:rsid w:val="4F444544"/>
    <w:rsid w:val="50410483"/>
    <w:rsid w:val="509818E5"/>
    <w:rsid w:val="51547108"/>
    <w:rsid w:val="51EF5E19"/>
    <w:rsid w:val="527A22D9"/>
    <w:rsid w:val="5289164F"/>
    <w:rsid w:val="52FF551A"/>
    <w:rsid w:val="53672784"/>
    <w:rsid w:val="539E26C0"/>
    <w:rsid w:val="53A91257"/>
    <w:rsid w:val="53F3326E"/>
    <w:rsid w:val="549878D9"/>
    <w:rsid w:val="54A06C67"/>
    <w:rsid w:val="54CC1D57"/>
    <w:rsid w:val="54EB364E"/>
    <w:rsid w:val="55CA28F1"/>
    <w:rsid w:val="55D26B9E"/>
    <w:rsid w:val="561D32CE"/>
    <w:rsid w:val="56AC67D2"/>
    <w:rsid w:val="56CA6E4C"/>
    <w:rsid w:val="573622C3"/>
    <w:rsid w:val="576D5BCE"/>
    <w:rsid w:val="58836DC8"/>
    <w:rsid w:val="58BA5B76"/>
    <w:rsid w:val="599C16F8"/>
    <w:rsid w:val="5A2A67F5"/>
    <w:rsid w:val="5A4F27F0"/>
    <w:rsid w:val="5A880128"/>
    <w:rsid w:val="5AAE4583"/>
    <w:rsid w:val="5B1D47FA"/>
    <w:rsid w:val="5D012421"/>
    <w:rsid w:val="5DD427BF"/>
    <w:rsid w:val="5DEC4365"/>
    <w:rsid w:val="5E7435BA"/>
    <w:rsid w:val="5E932ED8"/>
    <w:rsid w:val="60760873"/>
    <w:rsid w:val="60C214BD"/>
    <w:rsid w:val="60C265CF"/>
    <w:rsid w:val="617862AC"/>
    <w:rsid w:val="6192486D"/>
    <w:rsid w:val="62A30EA1"/>
    <w:rsid w:val="62F60387"/>
    <w:rsid w:val="63181F99"/>
    <w:rsid w:val="6320789A"/>
    <w:rsid w:val="63D1618C"/>
    <w:rsid w:val="64661261"/>
    <w:rsid w:val="64932BAD"/>
    <w:rsid w:val="649B4982"/>
    <w:rsid w:val="64BC0286"/>
    <w:rsid w:val="650C2A2C"/>
    <w:rsid w:val="65CA54AC"/>
    <w:rsid w:val="669A3582"/>
    <w:rsid w:val="66F23252"/>
    <w:rsid w:val="67920D68"/>
    <w:rsid w:val="67E47875"/>
    <w:rsid w:val="681F4C63"/>
    <w:rsid w:val="68E055B0"/>
    <w:rsid w:val="69961E22"/>
    <w:rsid w:val="6A23123C"/>
    <w:rsid w:val="6A2842F5"/>
    <w:rsid w:val="6A6547A8"/>
    <w:rsid w:val="6A6B5660"/>
    <w:rsid w:val="6A71419B"/>
    <w:rsid w:val="6B685571"/>
    <w:rsid w:val="6C3309C1"/>
    <w:rsid w:val="6D1E32A1"/>
    <w:rsid w:val="6D322B1C"/>
    <w:rsid w:val="6D9B2F52"/>
    <w:rsid w:val="6E2576AE"/>
    <w:rsid w:val="6E290AB7"/>
    <w:rsid w:val="6EA45979"/>
    <w:rsid w:val="6EEB2130"/>
    <w:rsid w:val="700B2EC6"/>
    <w:rsid w:val="70754AA5"/>
    <w:rsid w:val="70B8083E"/>
    <w:rsid w:val="7171086E"/>
    <w:rsid w:val="719510A4"/>
    <w:rsid w:val="71A66548"/>
    <w:rsid w:val="71FA4772"/>
    <w:rsid w:val="71FC4DEA"/>
    <w:rsid w:val="728671BF"/>
    <w:rsid w:val="72C94CD5"/>
    <w:rsid w:val="73300DA4"/>
    <w:rsid w:val="744616E9"/>
    <w:rsid w:val="745A380B"/>
    <w:rsid w:val="74A02866"/>
    <w:rsid w:val="75580D0F"/>
    <w:rsid w:val="76440F92"/>
    <w:rsid w:val="772F3652"/>
    <w:rsid w:val="779F15A2"/>
    <w:rsid w:val="77AE1328"/>
    <w:rsid w:val="77B6383C"/>
    <w:rsid w:val="78423920"/>
    <w:rsid w:val="78A45D63"/>
    <w:rsid w:val="794D08AD"/>
    <w:rsid w:val="79661C63"/>
    <w:rsid w:val="79D25FC2"/>
    <w:rsid w:val="79EA2C4D"/>
    <w:rsid w:val="79F90BEF"/>
    <w:rsid w:val="7A774554"/>
    <w:rsid w:val="7A7F1400"/>
    <w:rsid w:val="7AD051DC"/>
    <w:rsid w:val="7ADB0A5E"/>
    <w:rsid w:val="7AE62B2D"/>
    <w:rsid w:val="7B28387D"/>
    <w:rsid w:val="7BA223D0"/>
    <w:rsid w:val="7C064AE8"/>
    <w:rsid w:val="7C29373A"/>
    <w:rsid w:val="7C6A3054"/>
    <w:rsid w:val="7CE44ECC"/>
    <w:rsid w:val="7CE571C4"/>
    <w:rsid w:val="7D0375F5"/>
    <w:rsid w:val="7D546905"/>
    <w:rsid w:val="7D6D7ABB"/>
    <w:rsid w:val="7D7234FB"/>
    <w:rsid w:val="7F173DB2"/>
    <w:rsid w:val="7F2266A0"/>
    <w:rsid w:val="7F2E17A9"/>
    <w:rsid w:val="7FAD2049"/>
    <w:rsid w:val="7FEE7A90"/>
    <w:rsid w:val="7FF2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2909</Words>
  <Characters>3344</Characters>
  <Lines>0</Lines>
  <Paragraphs>0</Paragraphs>
  <TotalTime>39</TotalTime>
  <ScaleCrop>false</ScaleCrop>
  <LinksUpToDate>false</LinksUpToDate>
  <CharactersWithSpaces>3452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2024-03-05T05:09:00Z</dcterms:created>
  <dc:creator>杨贵娇</dc:creator>
  <cp:lastModifiedBy>杨贵娇</cp:lastModifiedBy>
  <dcterms:modified xsi:type="dcterms:W3CDTF">2025-05-21T06:13:27Z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EE2AB1D740C247FCAADF775BD1D1EB79_13</vt:lpwstr>
  </property>
  <property fmtid="{D5CDD505-2E9C-101B-9397-08002B2CF9AE}" pid="4" name="KSOTemplateDocerSaveRecord">
    <vt:lpwstr>eyJoZGlkIjoiZTM2MTRlOTE5NzU3Y2FhZmJjMTA4ODAwNjMyZWVhZDciLCJ1c2VySWQiOiIzOTQyNDEyNzQifQ==</vt:lpwstr>
  </property>
</Properties>
</file>