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80F2" w14:textId="18807BA2" w:rsidR="007830F2" w:rsidRDefault="00E75A51">
      <w:pPr>
        <w:pStyle w:val="1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 xml:space="preserve">证券代码：605287                               </w:t>
      </w:r>
      <w:r w:rsidR="00E70851">
        <w:rPr>
          <w:rFonts w:ascii="宋体" w:eastAsia="宋体" w:hAnsi="宋体" w:cs="宋体"/>
          <w:sz w:val="24"/>
          <w:szCs w:val="24"/>
          <w:lang w:val="en-US"/>
        </w:rPr>
        <w:t xml:space="preserve">    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证券简称：德才股份</w:t>
      </w:r>
    </w:p>
    <w:p w14:paraId="013564D0" w14:textId="77777777" w:rsidR="007830F2" w:rsidRDefault="007830F2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78692912" w14:textId="77777777" w:rsidR="007830F2" w:rsidRDefault="00E75A51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德才装饰股份有限公司</w:t>
      </w:r>
    </w:p>
    <w:p w14:paraId="75598981" w14:textId="77777777" w:rsidR="007830F2" w:rsidRDefault="00E75A51">
      <w:pPr>
        <w:spacing w:line="36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投资者关系活动记录表</w:t>
      </w:r>
    </w:p>
    <w:p w14:paraId="06FD09E3" w14:textId="5A62F494" w:rsidR="007830F2" w:rsidRDefault="00E75A51">
      <w:pPr>
        <w:spacing w:before="51" w:after="32"/>
        <w:ind w:right="619"/>
        <w:jc w:val="right"/>
        <w:rPr>
          <w:rFonts w:ascii="宋体" w:eastAsia="宋体" w:hAnsi="宋体" w:cs="宋体"/>
          <w:sz w:val="28"/>
          <w:lang w:val="en-US"/>
        </w:rPr>
      </w:pPr>
      <w:r>
        <w:rPr>
          <w:rFonts w:ascii="宋体" w:eastAsia="宋体" w:hAnsi="宋体" w:cs="宋体" w:hint="eastAsia"/>
          <w:sz w:val="28"/>
        </w:rPr>
        <w:t>编号：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202</w:t>
      </w:r>
      <w:r w:rsidR="00132451">
        <w:rPr>
          <w:rFonts w:ascii="宋体" w:eastAsia="宋体" w:hAnsi="宋体" w:cs="宋体" w:hint="eastAsia"/>
          <w:sz w:val="24"/>
          <w:szCs w:val="24"/>
          <w:lang w:val="en-US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00</w:t>
      </w:r>
      <w:r w:rsidR="00132451">
        <w:rPr>
          <w:rFonts w:ascii="宋体" w:eastAsia="宋体" w:hAnsi="宋体" w:cs="宋体" w:hint="eastAsia"/>
          <w:sz w:val="24"/>
          <w:szCs w:val="24"/>
          <w:lang w:val="en-US"/>
        </w:rPr>
        <w:t>2</w:t>
      </w:r>
    </w:p>
    <w:tbl>
      <w:tblPr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45"/>
      </w:tblGrid>
      <w:tr w:rsidR="007830F2" w14:paraId="72FD88CE" w14:textId="77777777" w:rsidTr="001D596A">
        <w:trPr>
          <w:trHeight w:val="2801"/>
          <w:jc w:val="center"/>
        </w:trPr>
        <w:tc>
          <w:tcPr>
            <w:tcW w:w="2580" w:type="dxa"/>
            <w:vAlign w:val="center"/>
          </w:tcPr>
          <w:p w14:paraId="3470EBDC" w14:textId="77777777" w:rsidR="007830F2" w:rsidRPr="000A605C" w:rsidRDefault="007830F2" w:rsidP="000A605C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</w:p>
          <w:p w14:paraId="6B1518B5" w14:textId="77777777" w:rsidR="007830F2" w:rsidRPr="000A605C" w:rsidRDefault="00E75A51" w:rsidP="000A605C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 w:rsidRPr="001D596A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投资者关系活动类别</w:t>
            </w:r>
          </w:p>
        </w:tc>
        <w:tc>
          <w:tcPr>
            <w:tcW w:w="5945" w:type="dxa"/>
          </w:tcPr>
          <w:p w14:paraId="2361C407" w14:textId="77777777" w:rsidR="007830F2" w:rsidRPr="006D19A7" w:rsidRDefault="007830F2" w:rsidP="00E0618C">
            <w:pPr>
              <w:pStyle w:val="TableParagraph"/>
              <w:spacing w:before="7"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78AA0626" w14:textId="77777777" w:rsidR="007830F2" w:rsidRPr="00C34D4A" w:rsidRDefault="00000000" w:rsidP="00E0618C">
            <w:pPr>
              <w:pStyle w:val="TableParagraph"/>
              <w:tabs>
                <w:tab w:val="left" w:pos="2418"/>
              </w:tabs>
              <w:spacing w:before="1" w:line="360" w:lineRule="auto"/>
              <w:ind w:left="107"/>
              <w:rPr>
                <w:rFonts w:ascii="宋体" w:eastAsia="宋体" w:hAnsi="宋体" w:cs="宋体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特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定</w:t>
            </w:r>
            <w:r w:rsidR="00E75A51" w:rsidRPr="00C34D4A">
              <w:rPr>
                <w:rFonts w:ascii="宋体" w:eastAsia="宋体" w:hAnsi="宋体" w:cs="宋体" w:hint="eastAsia"/>
              </w:rPr>
              <w:t>对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象</w:t>
            </w:r>
            <w:r w:rsidR="00E75A51" w:rsidRPr="00C34D4A">
              <w:rPr>
                <w:rFonts w:ascii="宋体" w:eastAsia="宋体" w:hAnsi="宋体" w:cs="宋体" w:hint="eastAsia"/>
              </w:rPr>
              <w:t>调研</w:t>
            </w:r>
            <w:r w:rsidR="00E75A51" w:rsidRPr="00C34D4A">
              <w:rPr>
                <w:rFonts w:ascii="宋体" w:eastAsia="宋体" w:hAnsi="宋体" w:cs="宋体" w:hint="eastAsia"/>
              </w:rPr>
              <w:tab/>
            </w:r>
            <w:sdt>
              <w:sdtPr>
                <w:rPr>
                  <w:rFonts w:ascii="宋体" w:eastAsia="宋体" w:hAnsi="宋体" w:cs="宋体" w:hint="eastAsia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分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析</w:t>
            </w:r>
            <w:r w:rsidR="00E75A51" w:rsidRPr="00C34D4A">
              <w:rPr>
                <w:rFonts w:ascii="宋体" w:eastAsia="宋体" w:hAnsi="宋体" w:cs="宋体" w:hint="eastAsia"/>
              </w:rPr>
              <w:t>师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会</w:t>
            </w:r>
            <w:r w:rsidR="00E75A51" w:rsidRPr="00C34D4A">
              <w:rPr>
                <w:rFonts w:ascii="宋体" w:eastAsia="宋体" w:hAnsi="宋体" w:cs="宋体" w:hint="eastAsia"/>
              </w:rPr>
              <w:t>议</w:t>
            </w:r>
          </w:p>
          <w:p w14:paraId="2DBAD631" w14:textId="5E4AAD45" w:rsidR="007830F2" w:rsidRPr="00C34D4A" w:rsidRDefault="00000000" w:rsidP="00E0618C">
            <w:pPr>
              <w:pStyle w:val="TableParagraph"/>
              <w:tabs>
                <w:tab w:val="left" w:pos="2418"/>
              </w:tabs>
              <w:spacing w:line="360" w:lineRule="auto"/>
              <w:ind w:left="107"/>
              <w:rPr>
                <w:rFonts w:ascii="宋体" w:eastAsia="宋体" w:hAnsi="宋体" w:cs="宋体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媒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体</w:t>
            </w:r>
            <w:r w:rsidR="00E75A51" w:rsidRPr="00C34D4A">
              <w:rPr>
                <w:rFonts w:ascii="宋体" w:eastAsia="宋体" w:hAnsi="宋体" w:cs="宋体" w:hint="eastAsia"/>
              </w:rPr>
              <w:t>采访</w:t>
            </w:r>
            <w:r w:rsidR="00E75A51" w:rsidRPr="00C34D4A">
              <w:rPr>
                <w:rFonts w:ascii="宋体" w:eastAsia="宋体" w:hAnsi="宋体" w:cs="宋体" w:hint="eastAsia"/>
              </w:rPr>
              <w:tab/>
            </w:r>
            <w:sdt>
              <w:sdtPr>
                <w:rPr>
                  <w:rFonts w:ascii="宋体" w:eastAsia="宋体" w:hAnsi="宋体" w:cs="宋体" w:hint="eastAsia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93DBB">
                  <w:rPr>
                    <w:rFonts w:ascii="MS Gothic" w:eastAsia="MS Gothic" w:hAnsi="MS Gothic" w:cs="宋体" w:hint="eastAsia"/>
                  </w:rPr>
                  <w:sym w:font="Wingdings 2" w:char="F052"/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业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绩</w:t>
            </w:r>
            <w:r w:rsidR="00E75A51" w:rsidRPr="00C34D4A">
              <w:rPr>
                <w:rFonts w:ascii="宋体" w:eastAsia="宋体" w:hAnsi="宋体" w:cs="宋体" w:hint="eastAsia"/>
              </w:rPr>
              <w:t>说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明</w:t>
            </w:r>
            <w:r w:rsidR="00E75A51" w:rsidRPr="00C34D4A">
              <w:rPr>
                <w:rFonts w:ascii="宋体" w:eastAsia="宋体" w:hAnsi="宋体" w:cs="宋体" w:hint="eastAsia"/>
              </w:rPr>
              <w:t>会</w:t>
            </w:r>
          </w:p>
          <w:p w14:paraId="73B7EF56" w14:textId="6B8C011B" w:rsidR="007830F2" w:rsidRPr="00C34D4A" w:rsidRDefault="00000000" w:rsidP="00E0618C">
            <w:pPr>
              <w:pStyle w:val="TableParagraph"/>
              <w:tabs>
                <w:tab w:val="left" w:pos="2418"/>
              </w:tabs>
              <w:spacing w:line="360" w:lineRule="auto"/>
              <w:ind w:left="107"/>
              <w:rPr>
                <w:rFonts w:ascii="宋体" w:eastAsia="宋体" w:hAnsi="宋体" w:cs="宋体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82317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新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闻</w:t>
            </w:r>
            <w:r w:rsidR="00E75A51" w:rsidRPr="00C34D4A">
              <w:rPr>
                <w:rFonts w:ascii="宋体" w:eastAsia="宋体" w:hAnsi="宋体" w:cs="宋体" w:hint="eastAsia"/>
              </w:rPr>
              <w:t>发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布</w:t>
            </w:r>
            <w:r w:rsidR="00E75A51" w:rsidRPr="00C34D4A">
              <w:rPr>
                <w:rFonts w:ascii="宋体" w:eastAsia="宋体" w:hAnsi="宋体" w:cs="宋体" w:hint="eastAsia"/>
              </w:rPr>
              <w:t>会</w:t>
            </w:r>
            <w:r w:rsidR="00E75A51" w:rsidRPr="00C34D4A">
              <w:rPr>
                <w:rFonts w:ascii="宋体" w:eastAsia="宋体" w:hAnsi="宋体" w:cs="宋体" w:hint="eastAsia"/>
              </w:rPr>
              <w:tab/>
            </w:r>
            <w:sdt>
              <w:sdtPr>
                <w:rPr>
                  <w:rFonts w:ascii="宋体" w:eastAsia="宋体" w:hAnsi="宋体" w:cs="宋体" w:hint="eastAsia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路</w:t>
            </w:r>
            <w:r w:rsidR="00E75A51" w:rsidRPr="00C34D4A">
              <w:rPr>
                <w:rFonts w:ascii="宋体" w:eastAsia="宋体" w:hAnsi="宋体" w:cs="宋体" w:hint="eastAsia"/>
                <w:spacing w:val="-3"/>
              </w:rPr>
              <w:t>演</w:t>
            </w:r>
            <w:r w:rsidR="00E75A51" w:rsidRPr="00C34D4A">
              <w:rPr>
                <w:rFonts w:ascii="宋体" w:eastAsia="宋体" w:hAnsi="宋体" w:cs="宋体" w:hint="eastAsia"/>
              </w:rPr>
              <w:t>活动</w:t>
            </w:r>
          </w:p>
          <w:p w14:paraId="7265B8C4" w14:textId="77777777" w:rsidR="007830F2" w:rsidRPr="00C34D4A" w:rsidRDefault="00000000" w:rsidP="00E0618C">
            <w:pPr>
              <w:pStyle w:val="TableParagraph"/>
              <w:spacing w:line="360" w:lineRule="auto"/>
              <w:ind w:left="107"/>
              <w:rPr>
                <w:rFonts w:ascii="宋体" w:eastAsia="宋体" w:hAnsi="宋体" w:cs="宋体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现场参观</w:t>
            </w:r>
          </w:p>
          <w:p w14:paraId="436E213A" w14:textId="77777777" w:rsidR="007830F2" w:rsidRPr="006D19A7" w:rsidRDefault="00000000" w:rsidP="00E0618C">
            <w:pPr>
              <w:pStyle w:val="TableParagraph"/>
              <w:ind w:left="107"/>
              <w:rPr>
                <w:rFonts w:ascii="宋体" w:eastAsia="宋体" w:hAnsi="宋体" w:cs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</w:rPr>
              <w:t>其他（</w:t>
            </w:r>
            <w:r w:rsidR="00E75A51" w:rsidRPr="00C34D4A">
              <w:rPr>
                <w:rFonts w:ascii="宋体" w:eastAsia="宋体" w:hAnsi="宋体" w:cs="宋体" w:hint="eastAsia"/>
                <w:u w:val="single"/>
              </w:rPr>
              <w:t>请文字说明其他活动内容）</w:t>
            </w:r>
          </w:p>
        </w:tc>
      </w:tr>
      <w:tr w:rsidR="007830F2" w14:paraId="3FF36D53" w14:textId="77777777" w:rsidTr="00E0618C">
        <w:trPr>
          <w:trHeight w:val="90"/>
          <w:jc w:val="center"/>
        </w:trPr>
        <w:tc>
          <w:tcPr>
            <w:tcW w:w="2580" w:type="dxa"/>
            <w:vAlign w:val="center"/>
          </w:tcPr>
          <w:p w14:paraId="037645C5" w14:textId="77777777" w:rsidR="007830F2" w:rsidRPr="00A3313A" w:rsidRDefault="00E75A51" w:rsidP="008671D2">
            <w:pPr>
              <w:pStyle w:val="TableParagraph"/>
              <w:ind w:left="107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  <w:lang w:val="en-US"/>
              </w:rPr>
            </w:pPr>
            <w:r w:rsidRPr="008671D2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形式</w:t>
            </w:r>
          </w:p>
        </w:tc>
        <w:tc>
          <w:tcPr>
            <w:tcW w:w="5945" w:type="dxa"/>
          </w:tcPr>
          <w:p w14:paraId="6B5F3EA7" w14:textId="0DEDDB51" w:rsidR="007830F2" w:rsidRPr="00A3313A" w:rsidRDefault="00000000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/>
                <w:sz w:val="21"/>
                <w:szCs w:val="21"/>
                <w:lang w:val="en-US"/>
              </w:rPr>
            </w:pPr>
            <w:sdt>
              <w:sdtPr>
                <w:rPr>
                  <w:rFonts w:ascii="宋体" w:eastAsia="宋体" w:hAnsi="宋体" w:cs="宋体" w:hint="eastAsia"/>
                </w:rPr>
                <w:id w:val="201993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5A51" w:rsidRPr="00C34D4A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  <w:lang w:val="en-US"/>
              </w:rPr>
              <w:t xml:space="preserve">现场     </w:t>
            </w:r>
            <w:sdt>
              <w:sdtPr>
                <w:rPr>
                  <w:rFonts w:ascii="宋体" w:eastAsia="宋体" w:hAnsi="宋体" w:cs="宋体" w:hint="eastAsia"/>
                </w:rPr>
                <w:id w:val="-190289641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E75A51" w:rsidRPr="00C34D4A">
                  <w:rPr>
                    <w:rFonts w:ascii="宋体" w:eastAsia="宋体" w:hAnsi="宋体" w:cs="宋体" w:hint="eastAsia"/>
                  </w:rPr>
                  <w:sym w:font="Wingdings 2" w:char="F052"/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  <w:lang w:val="en-US"/>
              </w:rPr>
              <w:t xml:space="preserve">网上    </w:t>
            </w:r>
            <w:sdt>
              <w:sdtPr>
                <w:rPr>
                  <w:rFonts w:ascii="宋体" w:eastAsia="宋体" w:hAnsi="宋体" w:cs="宋体" w:hint="eastAsia"/>
                </w:rPr>
                <w:id w:val="1076561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74B33">
                  <w:rPr>
                    <w:rFonts w:ascii="MS Gothic" w:eastAsia="MS Gothic" w:hAnsi="MS Gothic" w:cs="宋体" w:hint="eastAsia"/>
                  </w:rPr>
                  <w:t>☐</w:t>
                </w:r>
              </w:sdtContent>
            </w:sdt>
            <w:r w:rsidR="00E75A51" w:rsidRPr="00C34D4A">
              <w:rPr>
                <w:rFonts w:ascii="宋体" w:eastAsia="宋体" w:hAnsi="宋体" w:cs="宋体" w:hint="eastAsia"/>
                <w:lang w:val="en-US"/>
              </w:rPr>
              <w:t>电话会议</w:t>
            </w:r>
          </w:p>
        </w:tc>
      </w:tr>
      <w:tr w:rsidR="007830F2" w14:paraId="5BD72285" w14:textId="77777777" w:rsidTr="00DA2D67">
        <w:trPr>
          <w:trHeight w:val="838"/>
          <w:jc w:val="center"/>
        </w:trPr>
        <w:tc>
          <w:tcPr>
            <w:tcW w:w="2580" w:type="dxa"/>
            <w:vAlign w:val="center"/>
          </w:tcPr>
          <w:p w14:paraId="78B5EF47" w14:textId="77777777" w:rsidR="007830F2" w:rsidRDefault="00E75A51" w:rsidP="008671D2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76A966BC" w14:textId="7CC862E7" w:rsidR="00DA2D67" w:rsidRPr="00C34D4A" w:rsidRDefault="00E75A51" w:rsidP="00DA2D67">
            <w:pPr>
              <w:pStyle w:val="TableParagraph"/>
              <w:ind w:firstLineChars="100" w:firstLine="220"/>
              <w:rPr>
                <w:rFonts w:asciiTheme="minorEastAsia" w:eastAsiaTheme="minorEastAsia" w:hAnsiTheme="minorEastAsia" w:cs="宋体"/>
              </w:rPr>
            </w:pPr>
            <w:r w:rsidRPr="00C34D4A">
              <w:rPr>
                <w:rFonts w:asciiTheme="minorEastAsia" w:eastAsiaTheme="minorEastAsia" w:hAnsiTheme="minorEastAsia" w:cs="宋体" w:hint="eastAsia"/>
              </w:rPr>
              <w:t>线上参与</w:t>
            </w:r>
            <w:r w:rsidR="000E5B69">
              <w:rPr>
                <w:rFonts w:asciiTheme="minorEastAsia" w:eastAsiaTheme="minorEastAsia" w:hAnsiTheme="minorEastAsia" w:cs="宋体" w:hint="eastAsia"/>
              </w:rPr>
              <w:t>本次会议</w:t>
            </w:r>
            <w:r w:rsidRPr="00C34D4A">
              <w:rPr>
                <w:rFonts w:asciiTheme="minorEastAsia" w:eastAsiaTheme="minorEastAsia" w:hAnsiTheme="minorEastAsia" w:cs="宋体" w:hint="eastAsia"/>
              </w:rPr>
              <w:t>的投资者</w:t>
            </w:r>
          </w:p>
        </w:tc>
      </w:tr>
      <w:tr w:rsidR="007830F2" w14:paraId="4D77891B" w14:textId="77777777" w:rsidTr="00064743">
        <w:trPr>
          <w:trHeight w:val="558"/>
          <w:jc w:val="center"/>
        </w:trPr>
        <w:tc>
          <w:tcPr>
            <w:tcW w:w="2580" w:type="dxa"/>
            <w:vAlign w:val="center"/>
          </w:tcPr>
          <w:p w14:paraId="67543BA1" w14:textId="77777777" w:rsidR="007830F2" w:rsidRDefault="00E75A51" w:rsidP="00064743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945" w:type="dxa"/>
            <w:vAlign w:val="center"/>
          </w:tcPr>
          <w:p w14:paraId="25807E3C" w14:textId="28129217" w:rsidR="007830F2" w:rsidRPr="00C34D4A" w:rsidRDefault="00E75A51" w:rsidP="008169DE">
            <w:pPr>
              <w:ind w:firstLineChars="100" w:firstLine="220"/>
            </w:pPr>
            <w:r w:rsidRPr="00C34D4A">
              <w:rPr>
                <w:rFonts w:asciiTheme="minorEastAsia" w:eastAsiaTheme="minorEastAsia" w:hAnsiTheme="minorEastAsia" w:cstheme="minorEastAsia" w:hint="eastAsia"/>
              </w:rPr>
              <w:t>202</w:t>
            </w:r>
            <w:r w:rsidR="00132451">
              <w:rPr>
                <w:rFonts w:asciiTheme="minorEastAsia" w:eastAsiaTheme="minorEastAsia" w:hAnsiTheme="minorEastAsia" w:cstheme="minorEastAsia" w:hint="eastAsia"/>
              </w:rPr>
              <w:t>5</w:t>
            </w:r>
            <w:r w:rsidRPr="00C34D4A">
              <w:rPr>
                <w:rFonts w:asciiTheme="minorEastAsia" w:eastAsiaTheme="minorEastAsia" w:hAnsiTheme="minorEastAsia" w:cstheme="minorEastAsia" w:hint="eastAsia"/>
              </w:rPr>
              <w:t>年05月</w:t>
            </w:r>
            <w:r w:rsidR="00687FC3">
              <w:rPr>
                <w:rFonts w:asciiTheme="minorEastAsia" w:eastAsiaTheme="minorEastAsia" w:hAnsiTheme="minorEastAsia" w:cstheme="minorEastAsia" w:hint="eastAsia"/>
              </w:rPr>
              <w:t>2</w:t>
            </w:r>
            <w:r w:rsidR="00132451">
              <w:rPr>
                <w:rFonts w:asciiTheme="minorEastAsia" w:eastAsiaTheme="minorEastAsia" w:hAnsiTheme="minorEastAsia" w:cstheme="minorEastAsia" w:hint="eastAsia"/>
              </w:rPr>
              <w:t>0</w:t>
            </w:r>
            <w:r w:rsidRPr="00C34D4A">
              <w:rPr>
                <w:rFonts w:asciiTheme="minorEastAsia" w:eastAsiaTheme="minorEastAsia" w:hAnsiTheme="minorEastAsia" w:cstheme="minorEastAsia" w:hint="eastAsia"/>
              </w:rPr>
              <w:t>日15:00-16:00</w:t>
            </w:r>
          </w:p>
        </w:tc>
      </w:tr>
      <w:tr w:rsidR="007830F2" w14:paraId="5655D04D" w14:textId="77777777" w:rsidTr="00064743">
        <w:trPr>
          <w:trHeight w:val="561"/>
          <w:jc w:val="center"/>
        </w:trPr>
        <w:tc>
          <w:tcPr>
            <w:tcW w:w="2580" w:type="dxa"/>
            <w:vAlign w:val="center"/>
          </w:tcPr>
          <w:p w14:paraId="7DD3AB52" w14:textId="77777777" w:rsidR="007830F2" w:rsidRDefault="00E75A51" w:rsidP="00064743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5945" w:type="dxa"/>
            <w:vAlign w:val="center"/>
          </w:tcPr>
          <w:p w14:paraId="3C6052D0" w14:textId="648B4A48" w:rsidR="007830F2" w:rsidRPr="00C34D4A" w:rsidRDefault="00E75A51" w:rsidP="00F0179D">
            <w:pPr>
              <w:pStyle w:val="TableParagraph"/>
              <w:ind w:firstLineChars="100" w:firstLine="220"/>
              <w:rPr>
                <w:rFonts w:asciiTheme="minorEastAsia" w:eastAsiaTheme="minorEastAsia" w:hAnsiTheme="minorEastAsia" w:cs="宋体"/>
              </w:rPr>
            </w:pPr>
            <w:r w:rsidRPr="00C34D4A">
              <w:rPr>
                <w:rFonts w:asciiTheme="minorEastAsia" w:eastAsiaTheme="minorEastAsia" w:hAnsiTheme="minorEastAsia" w:cs="宋体"/>
              </w:rPr>
              <w:t>价值在线（https://</w:t>
            </w:r>
            <w:r w:rsidR="00687FC3" w:rsidRPr="00687FC3">
              <w:rPr>
                <w:rFonts w:asciiTheme="minorEastAsia" w:eastAsiaTheme="minorEastAsia" w:hAnsiTheme="minorEastAsia" w:cs="宋体"/>
              </w:rPr>
              <w:t>www.ir-online.cn</w:t>
            </w:r>
            <w:r w:rsidR="00687FC3">
              <w:rPr>
                <w:rFonts w:asciiTheme="minorEastAsia" w:eastAsiaTheme="minorEastAsia" w:hAnsiTheme="minorEastAsia" w:cs="宋体" w:hint="eastAsia"/>
              </w:rPr>
              <w:t>/</w:t>
            </w:r>
            <w:r w:rsidRPr="00C34D4A">
              <w:rPr>
                <w:rFonts w:asciiTheme="minorEastAsia" w:eastAsiaTheme="minorEastAsia" w:hAnsiTheme="minorEastAsia" w:cs="宋体"/>
              </w:rPr>
              <w:t>）</w:t>
            </w:r>
            <w:r w:rsidR="0083356E">
              <w:rPr>
                <w:rFonts w:asciiTheme="minorEastAsia" w:eastAsiaTheme="minorEastAsia" w:hAnsiTheme="minorEastAsia" w:cs="宋体" w:hint="eastAsia"/>
              </w:rPr>
              <w:t>网络互动</w:t>
            </w:r>
          </w:p>
        </w:tc>
      </w:tr>
      <w:tr w:rsidR="007830F2" w14:paraId="7D5B830B" w14:textId="77777777" w:rsidTr="00064743">
        <w:trPr>
          <w:trHeight w:val="558"/>
          <w:jc w:val="center"/>
        </w:trPr>
        <w:tc>
          <w:tcPr>
            <w:tcW w:w="2580" w:type="dxa"/>
            <w:vAlign w:val="center"/>
          </w:tcPr>
          <w:p w14:paraId="3524F28A" w14:textId="77777777" w:rsidR="007830F2" w:rsidRDefault="00E75A51" w:rsidP="00064743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539BE4CB" w14:textId="53853373" w:rsidR="00687FC3" w:rsidRDefault="00132451" w:rsidP="006D19A7">
            <w:pPr>
              <w:pStyle w:val="TableParagraph"/>
              <w:spacing w:line="360" w:lineRule="auto"/>
              <w:ind w:leftChars="100" w:left="2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总经理</w:t>
            </w:r>
            <w:r w:rsidR="00E75A51" w:rsidRPr="00064743"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袁永林</w:t>
            </w:r>
            <w:r w:rsidR="00E75A51" w:rsidRPr="00064743">
              <w:rPr>
                <w:rFonts w:ascii="宋体" w:eastAsia="宋体" w:hAnsi="宋体" w:cs="宋体"/>
              </w:rPr>
              <w:br/>
              <w:t>独立董事 顾旭芬</w:t>
            </w:r>
          </w:p>
          <w:p w14:paraId="24E3D929" w14:textId="0137C562" w:rsidR="00F0179D" w:rsidRDefault="00E75A51" w:rsidP="006D19A7">
            <w:pPr>
              <w:pStyle w:val="TableParagraph"/>
              <w:spacing w:line="360" w:lineRule="auto"/>
              <w:ind w:leftChars="100" w:left="220"/>
              <w:rPr>
                <w:rFonts w:ascii="宋体" w:eastAsia="宋体" w:hAnsi="宋体" w:cs="宋体"/>
              </w:rPr>
            </w:pPr>
            <w:r w:rsidRPr="00064743">
              <w:rPr>
                <w:rFonts w:ascii="宋体" w:eastAsia="宋体" w:hAnsi="宋体" w:cs="宋体"/>
              </w:rPr>
              <w:t>董事会秘书 王文静</w:t>
            </w:r>
          </w:p>
          <w:p w14:paraId="6579666E" w14:textId="2E5F13F1" w:rsidR="00DA2D67" w:rsidRPr="006D19A7" w:rsidRDefault="00687FC3" w:rsidP="00D609CD">
            <w:pPr>
              <w:pStyle w:val="TableParagraph"/>
              <w:spacing w:line="360" w:lineRule="auto"/>
              <w:ind w:leftChars="100" w:left="2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财务负责人 杨翠芬</w:t>
            </w:r>
          </w:p>
        </w:tc>
      </w:tr>
      <w:tr w:rsidR="007830F2" w14:paraId="63C80EE9" w14:textId="77777777" w:rsidTr="00132451">
        <w:trPr>
          <w:trHeight w:val="1691"/>
          <w:jc w:val="center"/>
        </w:trPr>
        <w:tc>
          <w:tcPr>
            <w:tcW w:w="2580" w:type="dxa"/>
            <w:vAlign w:val="center"/>
          </w:tcPr>
          <w:p w14:paraId="3ABF2B37" w14:textId="77777777" w:rsidR="007830F2" w:rsidRDefault="007830F2" w:rsidP="00064743">
            <w:pPr>
              <w:pStyle w:val="TableParagraph"/>
              <w:jc w:val="center"/>
              <w:rPr>
                <w:rFonts w:ascii="宋体" w:eastAsia="宋体" w:hAnsi="宋体" w:cs="宋体"/>
                <w:b/>
                <w:bCs/>
                <w:sz w:val="20"/>
              </w:rPr>
            </w:pPr>
          </w:p>
          <w:p w14:paraId="52E9BE50" w14:textId="77777777" w:rsidR="007830F2" w:rsidRDefault="007830F2" w:rsidP="00064743">
            <w:pPr>
              <w:pStyle w:val="TableParagraph"/>
              <w:jc w:val="center"/>
              <w:rPr>
                <w:rFonts w:ascii="宋体" w:eastAsia="宋体" w:hAnsi="宋体" w:cs="宋体"/>
                <w:b/>
                <w:bCs/>
                <w:sz w:val="20"/>
              </w:rPr>
            </w:pPr>
          </w:p>
          <w:p w14:paraId="6C36DB07" w14:textId="77777777" w:rsidR="007830F2" w:rsidRDefault="007830F2" w:rsidP="00064743">
            <w:pPr>
              <w:pStyle w:val="TableParagraph"/>
              <w:spacing w:before="5"/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14:paraId="0F7D7ED4" w14:textId="77777777" w:rsidR="007830F2" w:rsidRDefault="00E75A51" w:rsidP="00064743">
            <w:pPr>
              <w:pStyle w:val="TableParagraph"/>
              <w:spacing w:before="1" w:line="499" w:lineRule="auto"/>
              <w:ind w:left="107" w:right="96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t>投资者关系活动主要内容介绍</w:t>
            </w:r>
          </w:p>
        </w:tc>
        <w:tc>
          <w:tcPr>
            <w:tcW w:w="5945" w:type="dxa"/>
          </w:tcPr>
          <w:p w14:paraId="5705B9B7" w14:textId="4592226E" w:rsidR="008C35B2" w:rsidRDefault="004A67E9" w:rsidP="00B13242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一、</w:t>
            </w:r>
            <w:r w:rsidR="00132451">
              <w:rPr>
                <w:rFonts w:ascii="宋体" w:eastAsia="宋体" w:hAnsi="宋体" w:cs="宋体" w:hint="eastAsia"/>
                <w:b/>
              </w:rPr>
              <w:t>总经理</w:t>
            </w:r>
            <w:r w:rsidR="00C76318">
              <w:rPr>
                <w:rFonts w:ascii="宋体" w:eastAsia="宋体" w:hAnsi="宋体" w:cs="宋体" w:hint="eastAsia"/>
                <w:b/>
              </w:rPr>
              <w:t>开场致辞</w:t>
            </w:r>
          </w:p>
          <w:p w14:paraId="1CA3D01C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t>尊敬的各位投资者，大家下午好！</w:t>
            </w:r>
          </w:p>
          <w:p w14:paraId="5373707A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t>欢迎大家参加德才股份</w:t>
            </w:r>
            <w:r w:rsidRPr="00132451">
              <w:rPr>
                <w:rFonts w:ascii="宋体" w:eastAsia="宋体" w:hAnsi="宋体" w:cs="宋体"/>
              </w:rPr>
              <w:t>2024年度业绩说明会暨现金分红说明会。在此，我谨代表公司向参加本次活动的各位投资者朋友表示热烈的欢迎！</w:t>
            </w:r>
          </w:p>
          <w:p w14:paraId="0EAEDBE7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/>
              </w:rPr>
              <w:t>2024年，面对外部压力加大、内部困难增多的复杂严峻形势，公司坚持“稳中求进”总基调，围绕构筑“绿色智慧型全</w:t>
            </w:r>
            <w:r w:rsidRPr="00132451">
              <w:rPr>
                <w:rFonts w:ascii="宋体" w:eastAsia="宋体" w:hAnsi="宋体" w:cs="宋体"/>
              </w:rPr>
              <w:lastRenderedPageBreak/>
              <w:t>产业链样本企业”为战略定位，聚焦“用全产业链布局服务建筑全生命周期”的模式引领，深耕“城市更新”与“城市配套”领域，持续推动高质量发展。</w:t>
            </w:r>
          </w:p>
          <w:p w14:paraId="6536EFC1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/>
              </w:rPr>
              <w:t>2024年，公司实现营业收入41.34亿元，同比下降32.26%；归属于母公司净利润-2.87亿元。主要系市场需求整体放缓及行业竞争加剧，公司业务规模缩减，信用与资产减值损失计提金额增加所致。在行业整体承压背景下，公司苦练内功，潜心经营，多措并举筑牢经营安全防线，确保稳健发展。公司强化应收账款管理，加强回款催收力度，积极推进抵债资产处置；同时，在订单筛选方面，公司提高了准入门槛，聚焦进度款支付条件较好的项目，从源头提高项目效益，实现强质提效。报告期内，公司经营活动产生的现金流量净额4.55亿元，同比增长68.49%。</w:t>
            </w:r>
          </w:p>
          <w:p w14:paraId="079899DB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t>在业务布局方面，公司延续业务结构战略调整，弱化地产业务，以“城市更新”与“城市配套”两类业务领域为核心，为公司可持续高质量发展注入新动能。</w:t>
            </w:r>
            <w:r w:rsidRPr="00132451">
              <w:rPr>
                <w:rFonts w:ascii="宋体" w:eastAsia="宋体" w:hAnsi="宋体" w:cs="宋体"/>
              </w:rPr>
              <w:t>2024年，公司新签“城市更新”类项目金额约为19.83亿元，新签“城市配套”类项目金额约为15.10亿元，两类项目约占2024年全年累计新签项目总金额的80.38%。</w:t>
            </w:r>
          </w:p>
          <w:p w14:paraId="045318C4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/>
              </w:rPr>
              <w:t>2024年，公司在巩固传统省内优势市场的基础上，深化省外市场开拓，集中资源优势将营销重心转移至经济活力强、资金流动性好的一线城市，在深圳、上海等地业务拓展取得较大突破，成功落地一系列优质客户订单，为后续业务复苏奠定基础，省外市场战略布局取得显著成效。</w:t>
            </w:r>
          </w:p>
          <w:p w14:paraId="02E9BF25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t>根据《上市公司监管指引第</w:t>
            </w:r>
            <w:r w:rsidRPr="00132451">
              <w:rPr>
                <w:rFonts w:ascii="宋体" w:eastAsia="宋体" w:hAnsi="宋体" w:cs="宋体"/>
              </w:rPr>
              <w:t>3号——上市公司现金分红》及《公司章程》等相关规定，鉴于公司2024年度出现亏损，不满足公司实施现金分红的条件，且2024年公司累计回购股份2,023,315股，支付的资金总额为人民币25,505,081.60元（不含印花税、交易佣金等交易费用），综合考虑上述实际情况，为保证公司正常经营和稳健发展的资金需求，公司2024年度利润分配方案为：拟不进行现金分红，也不进行资本公积金转增股本。</w:t>
            </w:r>
          </w:p>
          <w:p w14:paraId="5C569ACC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lastRenderedPageBreak/>
              <w:t>展望未来，在国家战略与政策红利推动下，建筑行业正迎来高质量发展的历史性机遇。随着城市更新持续发力、城镇化建设稳步推进，以及基建投资的长效支撑，“三大工程”建设等领域将进一步打开结构性增长空间，为行业开辟广阔的发展前景，建筑行业将迈入崭新的发展阶段。公司将以“稳质量、控风险、强效能”为主线，聚焦“城市更新”与“城市配套”领域，挖掘新的市场区域与机遇，并持续通过优化订单结构、完善应收账款管理长效机制、提升项目精细化管理水平、加快抵债资产处置等措施，保持经营与盈利能力的稳定性，推动经营质量与效益的稳步回升。同时，公司将始终秉承“诚信依德，质量藉才”的核心价值观，继续聚焦做强主业，提升公司核心竞争力、盈利能力和风险管理能力。通过良好的经营管理、规范的公司治理和积极的投资者回报，切实保护投资者利益，回报投资者信任。</w:t>
            </w:r>
          </w:p>
          <w:p w14:paraId="152FB23A" w14:textId="77777777" w:rsid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t>我们希望通过本次交流活动，让大家更加直观、全面、深入地了解公司经营发展情况。同时，我们会以最真诚的态度，听取广大投资者对公司未来发展的宝贵意见。欢迎大家在此次交流会上踊跃提问，畅所欲言。谢谢大家！</w:t>
            </w:r>
          </w:p>
          <w:p w14:paraId="6AC1DC4A" w14:textId="4497F8C7" w:rsidR="00B21F93" w:rsidRPr="00B21F93" w:rsidRDefault="004A67E9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二、</w:t>
            </w:r>
            <w:r w:rsidR="00B21F93" w:rsidRPr="00B21F93">
              <w:rPr>
                <w:rFonts w:ascii="宋体" w:eastAsia="宋体" w:hAnsi="宋体" w:cs="宋体" w:hint="eastAsia"/>
                <w:b/>
                <w:bCs/>
              </w:rPr>
              <w:t>投资者提出的问题及公司回复情况</w:t>
            </w:r>
          </w:p>
          <w:p w14:paraId="69D51065" w14:textId="746C660F" w:rsidR="004A67E9" w:rsidRPr="008F487D" w:rsidRDefault="000F084E" w:rsidP="00B13242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/>
                <w:b/>
              </w:rPr>
              <w:t>1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132451" w:rsidRPr="00132451">
              <w:rPr>
                <w:rFonts w:ascii="宋体" w:eastAsia="宋体" w:hAnsi="宋体" w:cs="宋体" w:hint="eastAsia"/>
                <w:b/>
              </w:rPr>
              <w:t>公司</w:t>
            </w:r>
            <w:r w:rsidR="00132451" w:rsidRPr="00132451">
              <w:rPr>
                <w:rFonts w:ascii="宋体" w:eastAsia="宋体" w:hAnsi="宋体" w:cs="宋体"/>
                <w:b/>
              </w:rPr>
              <w:t>2024年经营状况如何</w:t>
            </w:r>
            <w:r w:rsidR="003550BA" w:rsidRPr="003550BA">
              <w:rPr>
                <w:rFonts w:ascii="宋体" w:eastAsia="宋体" w:hAnsi="宋体" w:cs="宋体" w:hint="eastAsia"/>
                <w:b/>
              </w:rPr>
              <w:t>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</w:t>
            </w:r>
            <w:r w:rsidR="003550BA" w:rsidRPr="003550BA">
              <w:rPr>
                <w:rFonts w:ascii="宋体" w:eastAsia="宋体" w:hAnsi="宋体" w:cs="宋体" w:hint="eastAsia"/>
              </w:rPr>
              <w:t>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132451" w:rsidRPr="00132451">
              <w:rPr>
                <w:rFonts w:ascii="宋体" w:eastAsia="宋体" w:hAnsi="宋体" w:cs="宋体" w:hint="eastAsia"/>
              </w:rPr>
              <w:t>尊敬的投资者，您好！</w:t>
            </w:r>
            <w:r w:rsidR="00132451" w:rsidRPr="00132451">
              <w:rPr>
                <w:rFonts w:ascii="宋体" w:eastAsia="宋体" w:hAnsi="宋体" w:cs="宋体"/>
              </w:rPr>
              <w:t>2024年，公司实现营业收入41.34亿元，同比下降32.26%；归属于母公司净利润-2.87亿元。主要系市场需求整体放缓及行业竞争加剧，公司业务规模缩减，信用与资产减值损失计提金额增加所致。在行业整体承压背景下，公司苦练内功，潜心经营，多措并举筑牢经营安全防线，确保稳健发展。公司强化应收账款管理，加强回款催收力度，积极推进抵债资产处置；同时，在订单筛选方面，公司提高了准入门槛，聚焦进度款支付条件较好的项目，从源头提高项目效益，实现强质提效。报告期内，公司经营活动产生的现金流量净额4.55亿元，同比增长68.49%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>
              <w:rPr>
                <w:rFonts w:ascii="宋体" w:eastAsia="宋体" w:hAnsi="宋体" w:cs="宋体"/>
                <w:b/>
              </w:rPr>
              <w:t>2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132451" w:rsidRPr="00132451">
              <w:rPr>
                <w:rFonts w:ascii="宋体" w:eastAsia="宋体" w:hAnsi="宋体" w:cs="宋体"/>
                <w:b/>
              </w:rPr>
              <w:t>公司计划采取哪些措施来改善经营状况，以恢复盈利能</w:t>
            </w:r>
            <w:r w:rsidR="00132451" w:rsidRPr="00132451">
              <w:rPr>
                <w:rFonts w:ascii="宋体" w:eastAsia="宋体" w:hAnsi="宋体" w:cs="宋体"/>
                <w:b/>
              </w:rPr>
              <w:lastRenderedPageBreak/>
              <w:t>力？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132451" w:rsidRPr="00132451">
              <w:rPr>
                <w:rFonts w:ascii="宋体" w:eastAsia="宋体" w:hAnsi="宋体" w:cs="宋体" w:hint="eastAsia"/>
              </w:rPr>
              <w:t>尊敬的投资者，您好！公司将以“稳质量、控风险、强效能”为主线，聚焦“城市更新”与“城市配套”领域，挖掘新的市场区域与机遇，并持续通过优化订单结构、完善应收账款管理长效机制、提升项目精细化管理水平、加快抵债资产处置等措施，保持经营与盈利能力的稳定性，推动经营质量与效益的稳步回升。在业务布局方面，公司将延续业务结构战略调整，弱化地产业务，积极推进城市“三大工程”建设，以“城市更新”与“城市配套”两类业务领域为核心，为公司可持续高质量发展注入新动能。在订单筛选方面，公司将提高准入门槛，聚焦进度款支付条件较好的项目，从源头提高项目效益，实现强质提效。在风险管控方面，公司将强化应收账款管理，加强回款催收力度，积极推进抵债资产处置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>
              <w:rPr>
                <w:rFonts w:ascii="宋体" w:eastAsia="宋体" w:hAnsi="宋体" w:cs="宋体"/>
                <w:b/>
              </w:rPr>
              <w:t>3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132451" w:rsidRPr="00132451">
              <w:rPr>
                <w:rFonts w:ascii="宋体" w:eastAsia="宋体" w:hAnsi="宋体" w:cs="宋体" w:hint="eastAsia"/>
                <w:b/>
              </w:rPr>
              <w:t>公司省外市场开拓情况如何？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132451" w:rsidRPr="00132451">
              <w:rPr>
                <w:rFonts w:ascii="宋体" w:eastAsia="宋体" w:hAnsi="宋体" w:cs="宋体" w:hint="eastAsia"/>
              </w:rPr>
              <w:t>尊敬的投资者，您好！</w:t>
            </w:r>
            <w:r w:rsidR="00132451" w:rsidRPr="00132451">
              <w:rPr>
                <w:rFonts w:ascii="宋体" w:eastAsia="宋体" w:hAnsi="宋体" w:cs="宋体"/>
              </w:rPr>
              <w:t>2024年，公司持续完善营销布局，深化“走出去”战略，集中资源优势将营销重心转移至经济活力强、资金流动性好的一线城市，在深圳、上海等地业务拓展取得较大突破。其中，公司将深圳市场作为省外拓展的关键阵地，配备强大的市场营销团队，并在管理和资金支撑等方面加强资源投入，承接了一系列优质项目，省外市场战略布局取得显著成效。报告期内，公司参与了深圳宝安空海救援医院、深圳理工大学建设工程、深圳书城湾区城、泰康深圳前海医院、深圳大鹏新区山海湾改造EPC等项目，并以此为契机，围绕高标准、高要求、高品质打造</w:t>
            </w:r>
            <w:r w:rsidR="00132451" w:rsidRPr="00132451">
              <w:rPr>
                <w:rFonts w:ascii="宋体" w:eastAsia="宋体" w:hAnsi="宋体" w:cs="宋体" w:hint="eastAsia"/>
              </w:rPr>
              <w:t>区域标杆项目，助力区域市场拓展，形成可复制模式向其他区域进一步延伸。感谢您对德才股份的关注与支持，谢谢！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>
              <w:rPr>
                <w:rFonts w:ascii="宋体" w:eastAsia="宋体" w:hAnsi="宋体" w:cs="宋体"/>
                <w:b/>
              </w:rPr>
              <w:t>4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132451" w:rsidRPr="00132451">
              <w:rPr>
                <w:rFonts w:ascii="宋体" w:eastAsia="宋体" w:hAnsi="宋体" w:cs="宋体"/>
                <w:b/>
              </w:rPr>
              <w:t>中房设计如何赋能公司业务发展？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132451" w:rsidRPr="00132451">
              <w:rPr>
                <w:rFonts w:ascii="宋体" w:eastAsia="宋体" w:hAnsi="宋体" w:cs="宋体" w:hint="eastAsia"/>
              </w:rPr>
              <w:t>尊敬的投资者，您好！公司控股子公司中房设计具有工程设计建筑行业甲级资质，作为华北地区知名的建筑设计服务商，于</w:t>
            </w:r>
            <w:r w:rsidR="00132451" w:rsidRPr="00132451">
              <w:rPr>
                <w:rFonts w:ascii="宋体" w:eastAsia="宋体" w:hAnsi="宋体" w:cs="宋体"/>
              </w:rPr>
              <w:t>2023年12月成功在“新三板”挂牌，并自2024年5月20日起调入创新层。公司依托中房设计在规划建筑设计、室内设</w:t>
            </w:r>
            <w:r w:rsidR="00132451" w:rsidRPr="00132451">
              <w:rPr>
                <w:rFonts w:ascii="宋体" w:eastAsia="宋体" w:hAnsi="宋体" w:cs="宋体"/>
              </w:rPr>
              <w:lastRenderedPageBreak/>
              <w:t>计、景观园林设计及其他设计咨询等领域的经验与优势，打造了以设计为龙头、设计驱动订单的营销模式，为全建筑产业链布局提供了技术与市场保障。当前，城市更新已进入存量时代，存量更新和品质提升需要设计单位提供全方位的技术支持，公司依托中房设计优势将能承接更多“城市更新”与“城市配套”类项目。感谢您对</w:t>
            </w:r>
            <w:r w:rsidR="00132451" w:rsidRPr="00132451">
              <w:rPr>
                <w:rFonts w:ascii="宋体" w:eastAsia="宋体" w:hAnsi="宋体" w:cs="宋体" w:hint="eastAsia"/>
              </w:rPr>
              <w:t>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 w:rsidR="00213986">
              <w:rPr>
                <w:rFonts w:ascii="宋体" w:eastAsia="宋体" w:hAnsi="宋体" w:cs="宋体"/>
                <w:b/>
              </w:rPr>
              <w:t>5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132451" w:rsidRPr="00132451">
              <w:rPr>
                <w:rFonts w:ascii="宋体" w:eastAsia="宋体" w:hAnsi="宋体" w:cs="宋体" w:hint="eastAsia"/>
                <w:b/>
              </w:rPr>
              <w:t>德才高科系统门窗具备哪些竞争优势？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132451" w:rsidRPr="00132451">
              <w:rPr>
                <w:rFonts w:ascii="宋体" w:eastAsia="宋体" w:hAnsi="宋体" w:cs="宋体"/>
              </w:rPr>
              <w:t>尊敬的投资者，您好！技术方面，德才高科将绿色低碳理念深度融入产品研发，通过智能制造赋能、核心工艺升级，全方位提升门窗产品的保温隔热、隔音降噪、气密水密等性能；设备方面，不仅引进德国、意大利等国际领先的生产设备和技术，还自主研发全自动“工业4.0”门窗智能制造生产线，打通了系统门窗从上料、锯切、钻铣、组角组装全流程智能制造路径；产品方面，依托智能制造生产线打造系统门窗产品，经过前期产品的改良优化，目前已形成覆盖B端和C端的4大系列16款系统门窗产品矩阵，满足不同层级市场需求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 w:rsidR="00213986">
              <w:rPr>
                <w:rFonts w:ascii="宋体" w:eastAsia="宋体" w:hAnsi="宋体" w:cs="宋体"/>
                <w:b/>
              </w:rPr>
              <w:t>6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132451" w:rsidRPr="00132451">
              <w:rPr>
                <w:rFonts w:ascii="宋体" w:eastAsia="宋体" w:hAnsi="宋体" w:cs="宋体" w:hint="eastAsia"/>
                <w:b/>
              </w:rPr>
              <w:t>公司在提升投资者回报方面有哪些具体举措？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132451" w:rsidRPr="00132451">
              <w:rPr>
                <w:rFonts w:ascii="宋体" w:eastAsia="宋体" w:hAnsi="宋体" w:cs="宋体" w:hint="eastAsia"/>
              </w:rPr>
              <w:t>尊敬的投资者，您好！</w:t>
            </w:r>
            <w:r w:rsidR="00132451" w:rsidRPr="00132451">
              <w:rPr>
                <w:rFonts w:ascii="宋体" w:eastAsia="宋体" w:hAnsi="宋体" w:cs="宋体"/>
              </w:rPr>
              <w:t>2024年，公司深入贯彻党的二十大和二十届二中、三中全会及中央金融工作会议精神，落实国务院《关于进一步提高上市公司质量的意见》《关于加强监管防范风险推动资本市场高质量发展的若干意见》等要求，践行“以投资者为本”的上市公司发展理念，维护全体股东利益，积极响应上海证券交易所《关于开展沪市公司“提质增效重回报”专项行动的倡议》，推动公司高质量发展和投资价值提升，开展“提质增效重回报”行动。报告期内，公司多次实施股份回购，累计回购金额2,550.51万元，推动公司股价与内在价值相匹配，增强投资者</w:t>
            </w:r>
            <w:r w:rsidR="00132451" w:rsidRPr="00132451">
              <w:rPr>
                <w:rFonts w:ascii="宋体" w:eastAsia="宋体" w:hAnsi="宋体" w:cs="宋体" w:hint="eastAsia"/>
              </w:rPr>
              <w:t>对公司长期价值的认可和投资信心。</w:t>
            </w:r>
            <w:r w:rsidR="00132451" w:rsidRPr="00132451">
              <w:rPr>
                <w:rFonts w:ascii="宋体" w:eastAsia="宋体" w:hAnsi="宋体" w:cs="宋体"/>
              </w:rPr>
              <w:t>2025年1月，公司积极响应股票回购增持再贷款政策，开展新一轮股份回购计划，回购金额预计达3,500万元-7,000万元，以实际行动响应新“国九条”政策，维护全体股东利益。同时，公司严格执行股东分红回报规划及利润分配政策，积极回报投</w:t>
            </w:r>
            <w:r w:rsidR="00132451" w:rsidRPr="00132451">
              <w:rPr>
                <w:rFonts w:ascii="宋体" w:eastAsia="宋体" w:hAnsi="宋体" w:cs="宋体"/>
              </w:rPr>
              <w:lastRenderedPageBreak/>
              <w:t>资者信任和支持。感谢您对德才股份的关注与支持，谢谢！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 w:rsidR="00213986">
              <w:rPr>
                <w:rFonts w:ascii="宋体" w:eastAsia="宋体" w:hAnsi="宋体" w:cs="宋体"/>
                <w:b/>
              </w:rPr>
              <w:t>7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132451" w:rsidRPr="00132451">
              <w:rPr>
                <w:rFonts w:ascii="宋体" w:eastAsia="宋体" w:hAnsi="宋体" w:cs="宋体"/>
                <w:b/>
              </w:rPr>
              <w:t>请问建筑行业将面临着怎样的机遇和挑战？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132451" w:rsidRPr="00132451">
              <w:rPr>
                <w:rFonts w:ascii="宋体" w:eastAsia="宋体" w:hAnsi="宋体" w:cs="宋体"/>
              </w:rPr>
              <w:t>尊敬的投资者，您好！全面建设社会主义现代化国家新征程，将为建筑行业的发展开启新的战略机遇期，机遇和挑战并存，机遇大于挑战。从基建投资领域来看，财政支出有望继续推动基建投资结构调整，支持“两新”“两重”等重点领域加大投资建设力度，并为建筑企业增量业务规模提供一定支撑。在财政政策加码的背景下，2025年基建投资仍将为建筑行业提供支撑，建筑企业也将在城市更新、“三大工程”建设等领域迎来结构性发展机会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 w:rsidR="008264A9">
              <w:rPr>
                <w:rFonts w:ascii="宋体" w:eastAsia="宋体" w:hAnsi="宋体" w:cs="宋体"/>
                <w:b/>
              </w:rPr>
              <w:t>8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132451" w:rsidRPr="00132451">
              <w:rPr>
                <w:rFonts w:ascii="宋体" w:eastAsia="宋体" w:hAnsi="宋体" w:cs="宋体"/>
                <w:b/>
              </w:rPr>
              <w:t>公司在项目管理方面有哪些优势？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132451" w:rsidRPr="00132451">
              <w:rPr>
                <w:rFonts w:ascii="宋体" w:eastAsia="宋体" w:hAnsi="宋体" w:cs="宋体"/>
              </w:rPr>
              <w:t>尊敬的投资者，您好！公司通过分公司、项目部及平台职能部门的复合矩阵式管理模式，以及不断健全的标准化的管理制度，对项目实施及时有效的质量控制、成本控制、进度控制、安全控制、信息管理，并通过相应的考核手段落实到个人，实现全流程管理。成熟的项目管理体系提升了公司整体的运行效率，使公司在激烈的竞争中处于有利地位。公司以健全完善质量安全生产责任制为核心，建立质量安全三级管理体系，通过项目巡检、拉网检查等积极组织开展安全隐患排查与综合治理行动，强化项目团队的质量、安全红线意识，不断推进质量安全生产达标工作，全年质量、安全无重大事故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E75A51">
              <w:rPr>
                <w:rFonts w:ascii="宋体" w:eastAsia="宋体" w:hAnsi="宋体" w:cs="宋体"/>
                <w:b/>
              </w:rPr>
              <w:t xml:space="preserve">    </w:t>
            </w:r>
            <w:r w:rsidR="008264A9">
              <w:rPr>
                <w:rFonts w:ascii="宋体" w:eastAsia="宋体" w:hAnsi="宋体" w:cs="宋体"/>
                <w:b/>
              </w:rPr>
              <w:t>9</w:t>
            </w:r>
            <w:r w:rsidR="00E75A51">
              <w:rPr>
                <w:rFonts w:ascii="宋体" w:eastAsia="宋体" w:hAnsi="宋体" w:cs="宋体"/>
                <w:b/>
              </w:rPr>
              <w:t>.</w:t>
            </w:r>
            <w:r w:rsidR="00132451" w:rsidRPr="00132451">
              <w:rPr>
                <w:rFonts w:ascii="宋体" w:eastAsia="宋体" w:hAnsi="宋体" w:cs="宋体"/>
                <w:b/>
              </w:rPr>
              <w:t>公司2024年新签订单下滑的原因？</w:t>
            </w:r>
            <w:r w:rsidR="00E75A51">
              <w:rPr>
                <w:rFonts w:ascii="宋体" w:eastAsia="宋体" w:hAnsi="宋体" w:cs="宋体"/>
                <w:b/>
              </w:rPr>
              <w:br/>
            </w:r>
            <w:r w:rsidR="00E75A51">
              <w:rPr>
                <w:rFonts w:ascii="宋体" w:eastAsia="宋体" w:hAnsi="宋体" w:cs="宋体"/>
              </w:rPr>
              <w:t xml:space="preserve">    答</w:t>
            </w:r>
            <w:r w:rsidR="00132451">
              <w:rPr>
                <w:rFonts w:ascii="宋体" w:eastAsia="宋体" w:hAnsi="宋体" w:cs="宋体" w:hint="eastAsia"/>
              </w:rPr>
              <w:t>：</w:t>
            </w:r>
            <w:r w:rsidR="00132451" w:rsidRPr="00132451">
              <w:rPr>
                <w:rFonts w:ascii="宋体" w:eastAsia="宋体" w:hAnsi="宋体" w:cs="宋体"/>
              </w:rPr>
              <w:t>尊敬的投资者，您好！面对市场、经济等外部环境因素的影响，公司2024年全年新签项目金额较上年同期下降，主要系公司持续优化订单结构和调整业务布局。在订单筛选方面，公司提高了准入门槛，严格识别和抵制付款差、有风险的订单，聚焦进度款条件较好项目，并严控开工条件，确保新项目工期合理、节点明确、回款快速，从源头提高项目效益，降低风险，实现强质提效。感谢您对德才股份的关注与支持，谢谢！</w:t>
            </w:r>
            <w:r w:rsidR="00E75A51">
              <w:rPr>
                <w:rFonts w:ascii="宋体" w:eastAsia="宋体" w:hAnsi="宋体" w:cs="宋体"/>
              </w:rPr>
              <w:br/>
            </w:r>
            <w:r w:rsidR="00132451">
              <w:rPr>
                <w:rFonts w:ascii="宋体" w:eastAsia="宋体" w:hAnsi="宋体" w:cs="宋体" w:hint="eastAsia"/>
                <w:b/>
              </w:rPr>
              <w:lastRenderedPageBreak/>
              <w:t xml:space="preserve">    </w:t>
            </w:r>
            <w:r w:rsidR="004A67E9" w:rsidRPr="008F487D">
              <w:rPr>
                <w:rFonts w:ascii="宋体" w:eastAsia="宋体" w:hAnsi="宋体" w:cs="宋体" w:hint="eastAsia"/>
                <w:b/>
                <w:bCs/>
              </w:rPr>
              <w:t>三、</w:t>
            </w:r>
            <w:r w:rsidR="008F487D">
              <w:rPr>
                <w:rFonts w:ascii="宋体" w:eastAsia="宋体" w:hAnsi="宋体" w:cs="宋体" w:hint="eastAsia"/>
                <w:b/>
                <w:bCs/>
              </w:rPr>
              <w:t>董事会秘书</w:t>
            </w:r>
            <w:r w:rsidR="008F487D" w:rsidRPr="008F487D">
              <w:rPr>
                <w:rFonts w:ascii="宋体" w:eastAsia="宋体" w:hAnsi="宋体" w:cs="宋体" w:hint="eastAsia"/>
                <w:b/>
                <w:bCs/>
              </w:rPr>
              <w:t>闭幕答谢致辞</w:t>
            </w:r>
          </w:p>
          <w:p w14:paraId="4F29454D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t>尊敬的各位投资者，大家好！</w:t>
            </w:r>
          </w:p>
          <w:p w14:paraId="7D54751C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t>时间过得很快，德才股份</w:t>
            </w:r>
            <w:r w:rsidRPr="00132451">
              <w:rPr>
                <w:rFonts w:ascii="宋体" w:eastAsia="宋体" w:hAnsi="宋体" w:cs="宋体"/>
              </w:rPr>
              <w:t>2024年度业绩说明会暨现金分红说明会即将结束。在此，我谨代表德才股份感谢大家对本次活动的热情关注和踊跃提问，感谢各界朋友对公司的关爱、信任和支持。</w:t>
            </w:r>
          </w:p>
          <w:p w14:paraId="2C1DA0B8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t>此次交流时间虽然短暂，但公司管理团队有幸与大家就公司战略、经营管理、财务状况及业务规划等多个层面进行了深入的沟通与交流。关于大家提出的许多中肯且有价值的建议，我们将在今后的经营管理中认真领会、积极借鉴。线上交流虽然暂时告一段落，但公司与投资者沟通的桥梁将永远畅通，大家可以通过上证</w:t>
            </w:r>
            <w:r w:rsidRPr="00132451">
              <w:rPr>
                <w:rFonts w:ascii="宋体" w:eastAsia="宋体" w:hAnsi="宋体" w:cs="宋体"/>
              </w:rPr>
              <w:t>e互动、投资者邮件、投资者热线等各种方式与我们保持联系和沟通。</w:t>
            </w:r>
          </w:p>
          <w:p w14:paraId="07AB7BE7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t>今后，德才股份将继续坚持以“创造绿色、智慧、美好的人居环境”为使命，以“成为具有国际影响力的全建筑产业链精品企业”为愿景，秉承“诚信依德，质量藉才”为核心价值观，围绕深耕“城市更新”与“城市配套”领域，构筑绿色智慧型全产业链样本企业，加速实现传统建造向绿色智慧建造的转型升级。</w:t>
            </w:r>
          </w:p>
          <w:p w14:paraId="58BD0437" w14:textId="77777777" w:rsidR="00132451" w:rsidRPr="00132451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</w:rPr>
            </w:pPr>
            <w:r w:rsidRPr="00132451">
              <w:rPr>
                <w:rFonts w:ascii="宋体" w:eastAsia="宋体" w:hAnsi="宋体" w:cs="宋体" w:hint="eastAsia"/>
              </w:rPr>
              <w:t>在此，我谨代表公司管理层和全体员工，再次对社会各界朋友对德才股份的关心和支持表示衷心的感谢！我们真诚地希望在未来的发展道路上，能够持续得到大家支持与信任，期待与大家携手，聚力共赢建筑行业高质量发展的新未来！</w:t>
            </w:r>
          </w:p>
          <w:p w14:paraId="5C77320D" w14:textId="66578DC4" w:rsidR="0003042F" w:rsidRDefault="00132451" w:rsidP="00132451">
            <w:pPr>
              <w:pStyle w:val="TableParagraph"/>
              <w:spacing w:line="360" w:lineRule="auto"/>
              <w:ind w:firstLine="450"/>
              <w:jc w:val="both"/>
              <w:rPr>
                <w:rFonts w:ascii="宋体" w:eastAsia="宋体" w:hAnsi="宋体" w:cs="宋体"/>
                <w:sz w:val="26"/>
              </w:rPr>
            </w:pPr>
            <w:r w:rsidRPr="00132451">
              <w:rPr>
                <w:rFonts w:ascii="宋体" w:eastAsia="宋体" w:hAnsi="宋体" w:cs="宋体" w:hint="eastAsia"/>
              </w:rPr>
              <w:t>谢谢大家！</w:t>
            </w:r>
          </w:p>
        </w:tc>
      </w:tr>
      <w:tr w:rsidR="00132451" w14:paraId="33EFE001" w14:textId="77777777" w:rsidTr="00064743">
        <w:trPr>
          <w:trHeight w:val="558"/>
          <w:jc w:val="center"/>
        </w:trPr>
        <w:tc>
          <w:tcPr>
            <w:tcW w:w="2580" w:type="dxa"/>
            <w:vAlign w:val="center"/>
          </w:tcPr>
          <w:p w14:paraId="27499223" w14:textId="6CF7D008" w:rsidR="00132451" w:rsidRDefault="00132451" w:rsidP="00132451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 w:rsidRPr="00132451">
              <w:rPr>
                <w:rFonts w:ascii="宋体" w:eastAsia="宋体" w:hAnsi="宋体" w:cs="宋体" w:hint="eastAsia"/>
                <w:b/>
                <w:bCs/>
                <w:sz w:val="21"/>
              </w:rPr>
              <w:lastRenderedPageBreak/>
              <w:t>关于本次活动是否涉及应披露重大信息的说明</w:t>
            </w:r>
          </w:p>
        </w:tc>
        <w:tc>
          <w:tcPr>
            <w:tcW w:w="5945" w:type="dxa"/>
            <w:vAlign w:val="center"/>
          </w:tcPr>
          <w:p w14:paraId="4C7808A1" w14:textId="7D1DDA9D" w:rsidR="00132451" w:rsidRDefault="00132451" w:rsidP="00570106">
            <w:pPr>
              <w:pStyle w:val="TableParagraph"/>
              <w:ind w:firstLineChars="100" w:firstLine="220"/>
              <w:rPr>
                <w:rFonts w:ascii="宋体" w:eastAsia="宋体" w:hAnsi="宋体" w:cs="宋体"/>
                <w:sz w:val="21"/>
                <w:szCs w:val="21"/>
              </w:rPr>
            </w:pPr>
            <w:r w:rsidRPr="00132451">
              <w:rPr>
                <w:rFonts w:ascii="宋体" w:eastAsia="宋体" w:hAnsi="宋体" w:cs="宋体" w:hint="eastAsia"/>
              </w:rPr>
              <w:t>本次活动不涉及未公开披露的重大信息。</w:t>
            </w:r>
          </w:p>
        </w:tc>
      </w:tr>
      <w:tr w:rsidR="007830F2" w14:paraId="7CD70E81" w14:textId="77777777" w:rsidTr="00064743">
        <w:trPr>
          <w:trHeight w:val="558"/>
          <w:jc w:val="center"/>
        </w:trPr>
        <w:tc>
          <w:tcPr>
            <w:tcW w:w="2580" w:type="dxa"/>
            <w:vAlign w:val="center"/>
          </w:tcPr>
          <w:p w14:paraId="0EF9F530" w14:textId="77777777" w:rsidR="007830F2" w:rsidRDefault="00E75A51" w:rsidP="00064743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</w:rPr>
              <w:t>日期</w:t>
            </w:r>
          </w:p>
        </w:tc>
        <w:tc>
          <w:tcPr>
            <w:tcW w:w="5945" w:type="dxa"/>
            <w:vAlign w:val="center"/>
          </w:tcPr>
          <w:p w14:paraId="263FE8EA" w14:textId="3AEB7C64" w:rsidR="007830F2" w:rsidRPr="00183B89" w:rsidRDefault="00E75A51" w:rsidP="00570106">
            <w:pPr>
              <w:pStyle w:val="TableParagraph"/>
              <w:ind w:firstLineChars="100" w:firstLine="220"/>
              <w:rPr>
                <w:rFonts w:ascii="宋体" w:eastAsia="宋体" w:hAnsi="宋体" w:cs="宋体"/>
              </w:rPr>
            </w:pPr>
            <w:r w:rsidRPr="00183B89">
              <w:rPr>
                <w:rFonts w:ascii="宋体" w:eastAsia="宋体" w:hAnsi="宋体" w:cs="宋体"/>
              </w:rPr>
              <w:t>202</w:t>
            </w:r>
            <w:r w:rsidR="00132451" w:rsidRPr="00183B89">
              <w:rPr>
                <w:rFonts w:ascii="宋体" w:eastAsia="宋体" w:hAnsi="宋体" w:cs="宋体" w:hint="eastAsia"/>
              </w:rPr>
              <w:t>5</w:t>
            </w:r>
            <w:r w:rsidRPr="00183B89">
              <w:rPr>
                <w:rFonts w:ascii="宋体" w:eastAsia="宋体" w:hAnsi="宋体" w:cs="宋体"/>
              </w:rPr>
              <w:t>年05月</w:t>
            </w:r>
            <w:r w:rsidR="00927CE5" w:rsidRPr="00183B89">
              <w:rPr>
                <w:rFonts w:ascii="宋体" w:eastAsia="宋体" w:hAnsi="宋体" w:cs="宋体" w:hint="eastAsia"/>
              </w:rPr>
              <w:t>2</w:t>
            </w:r>
            <w:r w:rsidR="00132451" w:rsidRPr="00183B89">
              <w:rPr>
                <w:rFonts w:ascii="宋体" w:eastAsia="宋体" w:hAnsi="宋体" w:cs="宋体" w:hint="eastAsia"/>
              </w:rPr>
              <w:t>0</w:t>
            </w:r>
            <w:r w:rsidRPr="00183B89">
              <w:rPr>
                <w:rFonts w:ascii="宋体" w:eastAsia="宋体" w:hAnsi="宋体" w:cs="宋体"/>
              </w:rPr>
              <w:t>日</w:t>
            </w:r>
          </w:p>
        </w:tc>
      </w:tr>
    </w:tbl>
    <w:p w14:paraId="61545F3A" w14:textId="77777777" w:rsidR="007830F2" w:rsidRDefault="007830F2">
      <w:pPr>
        <w:rPr>
          <w:rFonts w:ascii="宋体" w:eastAsia="宋体" w:hAnsi="宋体" w:cs="宋体"/>
          <w:sz w:val="28"/>
          <w:szCs w:val="36"/>
        </w:rPr>
      </w:pPr>
    </w:p>
    <w:sectPr w:rsidR="007830F2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D695A" w14:textId="77777777" w:rsidR="00622E1D" w:rsidRDefault="00622E1D" w:rsidP="00213986">
      <w:r>
        <w:separator/>
      </w:r>
    </w:p>
  </w:endnote>
  <w:endnote w:type="continuationSeparator" w:id="0">
    <w:p w14:paraId="2B8E83AD" w14:textId="77777777" w:rsidR="00622E1D" w:rsidRDefault="00622E1D" w:rsidP="0021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C2EFD" w14:textId="77777777" w:rsidR="00622E1D" w:rsidRDefault="00622E1D" w:rsidP="00213986">
      <w:r>
        <w:separator/>
      </w:r>
    </w:p>
  </w:footnote>
  <w:footnote w:type="continuationSeparator" w:id="0">
    <w:p w14:paraId="027D99EF" w14:textId="77777777" w:rsidR="00622E1D" w:rsidRDefault="00622E1D" w:rsidP="0021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32"/>
    <w:rsid w:val="00025AFD"/>
    <w:rsid w:val="00026CC3"/>
    <w:rsid w:val="0003042F"/>
    <w:rsid w:val="00031879"/>
    <w:rsid w:val="00036089"/>
    <w:rsid w:val="00040693"/>
    <w:rsid w:val="00053CFA"/>
    <w:rsid w:val="000633EC"/>
    <w:rsid w:val="00063804"/>
    <w:rsid w:val="00064743"/>
    <w:rsid w:val="000665A2"/>
    <w:rsid w:val="00074B33"/>
    <w:rsid w:val="00081C9E"/>
    <w:rsid w:val="00087158"/>
    <w:rsid w:val="000877AB"/>
    <w:rsid w:val="000A605C"/>
    <w:rsid w:val="000B7C08"/>
    <w:rsid w:val="000D12CF"/>
    <w:rsid w:val="000D2D88"/>
    <w:rsid w:val="000E4B20"/>
    <w:rsid w:val="000E5B69"/>
    <w:rsid w:val="000F084E"/>
    <w:rsid w:val="000F60AB"/>
    <w:rsid w:val="001123A7"/>
    <w:rsid w:val="0011418F"/>
    <w:rsid w:val="00132451"/>
    <w:rsid w:val="00172C24"/>
    <w:rsid w:val="001753FA"/>
    <w:rsid w:val="00183B89"/>
    <w:rsid w:val="00193DBB"/>
    <w:rsid w:val="001D596A"/>
    <w:rsid w:val="001E59D1"/>
    <w:rsid w:val="001E5EA4"/>
    <w:rsid w:val="002042A7"/>
    <w:rsid w:val="00205911"/>
    <w:rsid w:val="002062CC"/>
    <w:rsid w:val="00213986"/>
    <w:rsid w:val="002146AD"/>
    <w:rsid w:val="002146C6"/>
    <w:rsid w:val="00275CB6"/>
    <w:rsid w:val="002800B5"/>
    <w:rsid w:val="00291DB7"/>
    <w:rsid w:val="00295B29"/>
    <w:rsid w:val="002D4073"/>
    <w:rsid w:val="002E5716"/>
    <w:rsid w:val="002E7098"/>
    <w:rsid w:val="00301D32"/>
    <w:rsid w:val="003039F5"/>
    <w:rsid w:val="00334C60"/>
    <w:rsid w:val="003550BA"/>
    <w:rsid w:val="00366FAD"/>
    <w:rsid w:val="0037105B"/>
    <w:rsid w:val="003859D0"/>
    <w:rsid w:val="003932CC"/>
    <w:rsid w:val="003975BA"/>
    <w:rsid w:val="003A74E6"/>
    <w:rsid w:val="003B73DD"/>
    <w:rsid w:val="003D011C"/>
    <w:rsid w:val="003E722D"/>
    <w:rsid w:val="003F1098"/>
    <w:rsid w:val="003F3241"/>
    <w:rsid w:val="003F7684"/>
    <w:rsid w:val="004108C7"/>
    <w:rsid w:val="004112D7"/>
    <w:rsid w:val="00412DC2"/>
    <w:rsid w:val="0042233C"/>
    <w:rsid w:val="004336B9"/>
    <w:rsid w:val="00440041"/>
    <w:rsid w:val="00451268"/>
    <w:rsid w:val="004515AD"/>
    <w:rsid w:val="00451857"/>
    <w:rsid w:val="00453516"/>
    <w:rsid w:val="00457548"/>
    <w:rsid w:val="00470DB2"/>
    <w:rsid w:val="00477813"/>
    <w:rsid w:val="004925E7"/>
    <w:rsid w:val="00495B11"/>
    <w:rsid w:val="004A67E9"/>
    <w:rsid w:val="004B6FFE"/>
    <w:rsid w:val="004D0EEE"/>
    <w:rsid w:val="004F6FF3"/>
    <w:rsid w:val="00541635"/>
    <w:rsid w:val="00570106"/>
    <w:rsid w:val="00571B49"/>
    <w:rsid w:val="00572286"/>
    <w:rsid w:val="005743AE"/>
    <w:rsid w:val="005A1921"/>
    <w:rsid w:val="005A5F01"/>
    <w:rsid w:val="005B7062"/>
    <w:rsid w:val="005D64CA"/>
    <w:rsid w:val="005E5717"/>
    <w:rsid w:val="005E6DB2"/>
    <w:rsid w:val="005F2DFE"/>
    <w:rsid w:val="005F6F75"/>
    <w:rsid w:val="0061433E"/>
    <w:rsid w:val="00622E1D"/>
    <w:rsid w:val="0062751D"/>
    <w:rsid w:val="006354AA"/>
    <w:rsid w:val="006455BA"/>
    <w:rsid w:val="00661AFA"/>
    <w:rsid w:val="006726BF"/>
    <w:rsid w:val="00677B77"/>
    <w:rsid w:val="0068301A"/>
    <w:rsid w:val="00685F4E"/>
    <w:rsid w:val="0068718A"/>
    <w:rsid w:val="00687FC3"/>
    <w:rsid w:val="006909B2"/>
    <w:rsid w:val="006A2739"/>
    <w:rsid w:val="006B5C95"/>
    <w:rsid w:val="006D19A7"/>
    <w:rsid w:val="006E14B0"/>
    <w:rsid w:val="006F0108"/>
    <w:rsid w:val="00704AE6"/>
    <w:rsid w:val="007153A2"/>
    <w:rsid w:val="00724A68"/>
    <w:rsid w:val="007271BF"/>
    <w:rsid w:val="00730DD3"/>
    <w:rsid w:val="00733224"/>
    <w:rsid w:val="007525A1"/>
    <w:rsid w:val="00764128"/>
    <w:rsid w:val="00780DB6"/>
    <w:rsid w:val="007824B8"/>
    <w:rsid w:val="007830F2"/>
    <w:rsid w:val="007910DD"/>
    <w:rsid w:val="007A3EC1"/>
    <w:rsid w:val="007B313B"/>
    <w:rsid w:val="007B3368"/>
    <w:rsid w:val="007D0A69"/>
    <w:rsid w:val="007D6DC4"/>
    <w:rsid w:val="007E0005"/>
    <w:rsid w:val="008169DE"/>
    <w:rsid w:val="008264A9"/>
    <w:rsid w:val="0083356E"/>
    <w:rsid w:val="00853463"/>
    <w:rsid w:val="008671D2"/>
    <w:rsid w:val="00893F25"/>
    <w:rsid w:val="00895035"/>
    <w:rsid w:val="008B0451"/>
    <w:rsid w:val="008B2B14"/>
    <w:rsid w:val="008C35B2"/>
    <w:rsid w:val="008C6AED"/>
    <w:rsid w:val="008C7604"/>
    <w:rsid w:val="008D235B"/>
    <w:rsid w:val="008E1B27"/>
    <w:rsid w:val="008F487D"/>
    <w:rsid w:val="00903379"/>
    <w:rsid w:val="00906975"/>
    <w:rsid w:val="00917F0B"/>
    <w:rsid w:val="00917F8B"/>
    <w:rsid w:val="00927CE5"/>
    <w:rsid w:val="00960964"/>
    <w:rsid w:val="00965E4D"/>
    <w:rsid w:val="00976D4A"/>
    <w:rsid w:val="00982317"/>
    <w:rsid w:val="009952AB"/>
    <w:rsid w:val="009B1D5C"/>
    <w:rsid w:val="009C2E31"/>
    <w:rsid w:val="009C59E1"/>
    <w:rsid w:val="009E1955"/>
    <w:rsid w:val="00A0246A"/>
    <w:rsid w:val="00A3313A"/>
    <w:rsid w:val="00A527AA"/>
    <w:rsid w:val="00A5684D"/>
    <w:rsid w:val="00A75C61"/>
    <w:rsid w:val="00A9601B"/>
    <w:rsid w:val="00AA10E1"/>
    <w:rsid w:val="00AC04BD"/>
    <w:rsid w:val="00AD100E"/>
    <w:rsid w:val="00AE1E36"/>
    <w:rsid w:val="00AF74AA"/>
    <w:rsid w:val="00B03C2F"/>
    <w:rsid w:val="00B13242"/>
    <w:rsid w:val="00B15064"/>
    <w:rsid w:val="00B21F93"/>
    <w:rsid w:val="00B340A3"/>
    <w:rsid w:val="00B410F5"/>
    <w:rsid w:val="00B6280C"/>
    <w:rsid w:val="00B671A4"/>
    <w:rsid w:val="00B6729A"/>
    <w:rsid w:val="00B72CD4"/>
    <w:rsid w:val="00B85B00"/>
    <w:rsid w:val="00BF132F"/>
    <w:rsid w:val="00C13878"/>
    <w:rsid w:val="00C34D4A"/>
    <w:rsid w:val="00C36518"/>
    <w:rsid w:val="00C63963"/>
    <w:rsid w:val="00C76318"/>
    <w:rsid w:val="00C9145B"/>
    <w:rsid w:val="00CA1705"/>
    <w:rsid w:val="00CE1A54"/>
    <w:rsid w:val="00CF0499"/>
    <w:rsid w:val="00CF5FB6"/>
    <w:rsid w:val="00D02518"/>
    <w:rsid w:val="00D17454"/>
    <w:rsid w:val="00D33FBC"/>
    <w:rsid w:val="00D609CD"/>
    <w:rsid w:val="00D7535C"/>
    <w:rsid w:val="00D76302"/>
    <w:rsid w:val="00D925D9"/>
    <w:rsid w:val="00DA2BC7"/>
    <w:rsid w:val="00DA2D67"/>
    <w:rsid w:val="00DA5CE2"/>
    <w:rsid w:val="00DE10E8"/>
    <w:rsid w:val="00DE4CE9"/>
    <w:rsid w:val="00E0618C"/>
    <w:rsid w:val="00E16FDA"/>
    <w:rsid w:val="00E35F58"/>
    <w:rsid w:val="00E45BD9"/>
    <w:rsid w:val="00E66FFC"/>
    <w:rsid w:val="00E70851"/>
    <w:rsid w:val="00E759D6"/>
    <w:rsid w:val="00E75A51"/>
    <w:rsid w:val="00E84A8C"/>
    <w:rsid w:val="00E976DE"/>
    <w:rsid w:val="00EA52DA"/>
    <w:rsid w:val="00EB7C74"/>
    <w:rsid w:val="00EC0F83"/>
    <w:rsid w:val="00EC43A9"/>
    <w:rsid w:val="00EE3187"/>
    <w:rsid w:val="00EF499B"/>
    <w:rsid w:val="00F0179D"/>
    <w:rsid w:val="00F14977"/>
    <w:rsid w:val="00FB4A08"/>
    <w:rsid w:val="00FC0C2A"/>
    <w:rsid w:val="00FD23AF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A32AFB"/>
    <w:rsid w:val="15DD2205"/>
    <w:rsid w:val="17A67110"/>
    <w:rsid w:val="1864189B"/>
    <w:rsid w:val="18D73A7D"/>
    <w:rsid w:val="19557370"/>
    <w:rsid w:val="1BD06B6A"/>
    <w:rsid w:val="1F782BDE"/>
    <w:rsid w:val="23317869"/>
    <w:rsid w:val="24E6317E"/>
    <w:rsid w:val="25650CAE"/>
    <w:rsid w:val="26406598"/>
    <w:rsid w:val="27FE07F7"/>
    <w:rsid w:val="28080056"/>
    <w:rsid w:val="28734C1A"/>
    <w:rsid w:val="28C72DDD"/>
    <w:rsid w:val="29EE0E64"/>
    <w:rsid w:val="2EF90F16"/>
    <w:rsid w:val="2F125C63"/>
    <w:rsid w:val="302C3D0A"/>
    <w:rsid w:val="33DE31BB"/>
    <w:rsid w:val="389C49C0"/>
    <w:rsid w:val="39BC78F4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6850CBB"/>
    <w:rsid w:val="5A666D76"/>
    <w:rsid w:val="5B2253C2"/>
    <w:rsid w:val="603269D2"/>
    <w:rsid w:val="61A52BCA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F134790"/>
    <w:rsid w:val="72446028"/>
    <w:rsid w:val="73076EC0"/>
    <w:rsid w:val="74210CA6"/>
    <w:rsid w:val="788C25F5"/>
    <w:rsid w:val="79F72AA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B9922"/>
  <w15:docId w15:val="{D16D923A-8970-4BC6-BFCE-A1355323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styleId="af">
    <w:name w:val="Revision"/>
    <w:hidden/>
    <w:uiPriority w:val="99"/>
    <w:semiHidden/>
    <w:rsid w:val="00E70851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4D2DD-5112-4813-B6EC-B5F9C40C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782</Words>
  <Characters>4460</Characters>
  <Application>Microsoft Office Word</Application>
  <DocSecurity>0</DocSecurity>
  <Lines>37</Lines>
  <Paragraphs>10</Paragraphs>
  <ScaleCrop>false</ScaleCrop>
  <Company>Organization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龙祥 陈</cp:lastModifiedBy>
  <cp:revision>25</cp:revision>
  <dcterms:created xsi:type="dcterms:W3CDTF">2023-05-12T10:21:00Z</dcterms:created>
  <dcterms:modified xsi:type="dcterms:W3CDTF">2025-05-22T02:40:00Z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57D148DF2F764966BF4E1C38A6255FA2</vt:lpwstr>
  </property>
</Properties>
</file>