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C602" w14:textId="77777777" w:rsidR="00F97FBB" w:rsidRDefault="00000000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/>
          <w:spacing w:val="11"/>
          <w:position w:val="2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江西晨光新材料</w:t>
      </w:r>
      <w:r>
        <w:rPr>
          <w:rFonts w:ascii="Times New Roman" w:eastAsia="宋体" w:hAnsi="Times New Roman" w:cs="Times New Roman"/>
          <w:spacing w:val="10"/>
          <w:position w:val="2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股份有限公司</w:t>
      </w:r>
    </w:p>
    <w:p w14:paraId="163573B7" w14:textId="77777777" w:rsidR="00F97FBB" w:rsidRDefault="00000000">
      <w:pPr>
        <w:spacing w:line="360" w:lineRule="auto"/>
        <w:jc w:val="center"/>
        <w:rPr>
          <w:rFonts w:ascii="Times New Roman" w:eastAsia="宋体" w:hAnsi="Times New Roman" w:cs="Times New Roman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imes New Roman" w:eastAsia="宋体" w:hAnsi="Times New Roman" w:cs="Times New Roman" w:hint="eastAsia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2024</w:t>
      </w:r>
      <w:r>
        <w:rPr>
          <w:rFonts w:ascii="Times New Roman" w:eastAsia="宋体" w:hAnsi="Times New Roman" w:cs="Times New Roman" w:hint="eastAsia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年度暨</w:t>
      </w:r>
      <w:r>
        <w:rPr>
          <w:rFonts w:ascii="Times New Roman" w:eastAsia="宋体" w:hAnsi="Times New Roman" w:cs="Times New Roman" w:hint="eastAsia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2025</w:t>
      </w:r>
      <w:r>
        <w:rPr>
          <w:rFonts w:ascii="Times New Roman" w:eastAsia="宋体" w:hAnsi="Times New Roman" w:cs="Times New Roman" w:hint="eastAsia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年第一季度业绩</w:t>
      </w:r>
    </w:p>
    <w:p w14:paraId="35D60D39" w14:textId="77777777" w:rsidR="00F97FBB" w:rsidRDefault="00000000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 w:hint="eastAsia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暨现金分红说明会</w:t>
      </w:r>
      <w:r>
        <w:rPr>
          <w:rFonts w:ascii="Times New Roman" w:eastAsia="宋体" w:hAnsi="Times New Roman" w:cs="Times New Roman"/>
          <w:spacing w:val="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会议纪要</w:t>
      </w:r>
    </w:p>
    <w:p w14:paraId="6FC61D05" w14:textId="77777777" w:rsidR="00F97FBB" w:rsidRDefault="00F97FBB">
      <w:pPr>
        <w:spacing w:line="360" w:lineRule="auto"/>
        <w:rPr>
          <w:rFonts w:ascii="Times New Roman" w:hAnsi="Times New Roman" w:cs="Times New Roman"/>
        </w:rPr>
      </w:pPr>
    </w:p>
    <w:p w14:paraId="1E543670" w14:textId="77777777" w:rsidR="00F97FBB" w:rsidRDefault="00000000">
      <w:pPr>
        <w:spacing w:line="360" w:lineRule="auto"/>
        <w:ind w:firstLineChars="200" w:firstLine="482"/>
        <w:outlineLvl w:val="0"/>
        <w:rPr>
          <w:rFonts w:ascii="Times New Roman" w:eastAsiaTheme="minorEastAsia" w:hAnsi="Times New Roman" w:cs="Times New Roman"/>
          <w:b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napToGrid/>
          <w:kern w:val="2"/>
          <w:sz w:val="24"/>
          <w:szCs w:val="24"/>
        </w:rPr>
        <w:t>一、本次会议召开情况</w:t>
      </w:r>
      <w:r>
        <w:rPr>
          <w:rFonts w:ascii="Times New Roman" w:eastAsiaTheme="minorEastAsia" w:hAnsi="Times New Roman" w:cs="Times New Roman" w:hint="eastAsia"/>
          <w:b/>
          <w:snapToGrid/>
          <w:kern w:val="2"/>
          <w:sz w:val="24"/>
          <w:szCs w:val="24"/>
        </w:rPr>
        <w:t>：</w:t>
      </w:r>
    </w:p>
    <w:p w14:paraId="1FB936A3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会议召开时间：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202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年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月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22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日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（星期四）下午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13:00-14:00</w:t>
      </w:r>
    </w:p>
    <w:p w14:paraId="1F71DDCA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会议召开方式：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上海证券交易所</w:t>
      </w:r>
      <w:proofErr w:type="gramStart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上证路演</w:t>
      </w:r>
      <w:proofErr w:type="gramEnd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中心（以下简称“上证路演中心”）视频录播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+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网络文字互动</w:t>
      </w:r>
    </w:p>
    <w:p w14:paraId="6E56484D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网上召开地址：</w:t>
      </w:r>
      <w:proofErr w:type="gramStart"/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上证路演</w:t>
      </w:r>
      <w:proofErr w:type="gramEnd"/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中心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（网址：</w:t>
      </w:r>
      <w:hyperlink r:id="rId5" w:history="1">
        <w:r>
          <w:rPr>
            <w:rFonts w:ascii="Times New Roman" w:eastAsiaTheme="minorEastAsia" w:hAnsi="Times New Roman" w:cs="Times New Roman"/>
            <w:bCs/>
            <w:snapToGrid/>
            <w:kern w:val="2"/>
            <w:sz w:val="24"/>
            <w:szCs w:val="24"/>
          </w:rPr>
          <w:t>http://roadshow.sseinfo.com</w:t>
        </w:r>
      </w:hyperlink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）</w:t>
      </w:r>
    </w:p>
    <w:p w14:paraId="7F209B78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参加人员：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董事兼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总经理丁冰先生、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董事、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董事会秘书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兼副总经理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梁秋鸿先生、财务总监陆建平先生、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独立董事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杨平华先生、证券事务代表冯依樊女士</w:t>
      </w:r>
      <w:r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  <w:t>。</w:t>
      </w:r>
    </w:p>
    <w:p w14:paraId="20F94135" w14:textId="77777777" w:rsidR="00F97FBB" w:rsidRDefault="00000000">
      <w:pPr>
        <w:spacing w:line="360" w:lineRule="auto"/>
        <w:ind w:firstLineChars="200" w:firstLine="482"/>
        <w:outlineLvl w:val="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napToGrid/>
          <w:kern w:val="2"/>
          <w:sz w:val="24"/>
          <w:szCs w:val="24"/>
        </w:rPr>
        <w:t>二、本次说明会投资者提出的问题及回复情况整理如下：</w:t>
      </w:r>
    </w:p>
    <w:p w14:paraId="4A92F88E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、高管您好，请问您如何看待行业未来的发展前景？谢谢。</w:t>
      </w:r>
    </w:p>
    <w:p w14:paraId="0B2EA62A" w14:textId="77777777" w:rsidR="00F97FBB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答：尊敬的投资者，您好！中国功能性硅烷及硅基新材料行业与宏观经济、能源及大宗商品价格深度联动，市场需求与原料成本呈现一定程度的波动。长期来看，技术迭代与下游新能源、复合材料、电子封装等领域需求增长驱动行业扩容，生产规模持续扩大；环保及能耗政策趋严加速产业升级与一体化进程，推动绿色工艺转型和高端产品结构调整。当前行业面临结构性过剩压力，市场竞争倒</w:t>
      </w:r>
      <w:proofErr w:type="gramStart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逼企业</w:t>
      </w:r>
      <w:proofErr w:type="gramEnd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强化研发创新、优化生产工艺及三废处理能力，提升副产物利用效率以降低综合成本，同时加强全球品牌布局。能耗高、技术弱、环保不达标的中小企业生存空间收窄，行业集中</w:t>
      </w:r>
      <w:proofErr w:type="gramStart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度显著</w:t>
      </w:r>
      <w:proofErr w:type="gramEnd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提升。龙头企业依托绿色循环产业链、规模效应及技术储备，通过技改升级巩固市场地位，强化全产业链布局与循环经济竞争力，将持续占据全球主导地位。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感谢您对公司的关注！</w:t>
      </w:r>
    </w:p>
    <w:p w14:paraId="00A3493A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、您好，请问公司今年有扩展其他业务的打算吗？</w:t>
      </w:r>
    </w:p>
    <w:p w14:paraId="2A69FBA9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答：尊敬的投资者，您好！公司主要从事功能性硅烷基础原料、中间体及成品的研发、生产和销售。公司产品矩阵齐全，下游应用领域广泛，通过持续的技术创新，加强循环经济发展功能性硅烷产业的特色路径建设，延伸产业链。目前，公司主营产品按照不同的官能团分为氨基硅烷、环氧基硅烷、氯丙基硅烷、含硫硅烷、原硅酸酯、甲基</w:t>
      </w:r>
      <w:proofErr w:type="gramStart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丙烯酰氧基</w:t>
      </w:r>
      <w:proofErr w:type="gramEnd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硅烷、乙烯基硅烷、烷基硅烷、含氢硅烷等，下游涉及汽车、风电、光伏、轮胎、建筑等领域。公司目前正从单一硅烷供应商转型为硅基新材料解决方案服务商。随着三大基地陆续达产，预期将形成基础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lastRenderedPageBreak/>
        <w:t>产品规模化、特种产品高端化、新材料产业化的梯次发展格局。感谢您对公司的关注！</w:t>
      </w:r>
    </w:p>
    <w:p w14:paraId="34018A39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3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、高管您好，能否请您介绍一下本期行业整体和行业内其他主要企业的业绩表现？谢谢。</w:t>
      </w:r>
    </w:p>
    <w:p w14:paraId="5E982E13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答：尊敬的投资者，您好！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 xml:space="preserve"> 2024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年有机硅市场相对低迷，需求疲软叠加国内产能释放，受供需两端的双重冲击，功能性硅烷价格同比下滑。行业内其他主要企业的业绩，请您参阅相关公司发布的公告，感谢您对公司的关注！</w:t>
      </w:r>
    </w:p>
    <w:p w14:paraId="31C84970" w14:textId="77777777" w:rsidR="00F97FBB" w:rsidRDefault="00000000" w:rsidP="002E02AE">
      <w:pPr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4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、高管您好，请问贵公司未来盈利增长的主要驱动因素有哪些？谢谢。</w:t>
      </w:r>
    </w:p>
    <w:p w14:paraId="660E1C78" w14:textId="77777777" w:rsidR="00F97FBB" w:rsidRDefault="00000000" w:rsidP="002E02AE">
      <w:pPr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答：尊敬的投资者，您好！公司始终以绿色化、专业化、创新化为发展核心，深化循环经济体系应用，纵向贯通基础原料、中间体及终端产品全产业链，加速向领军企业的目标迈进。未来的盈利驱动因素主要</w:t>
      </w:r>
      <w:proofErr w:type="gramStart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围绕四</w:t>
      </w:r>
      <w:proofErr w:type="gramEnd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大模块展开：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、市场开发模块：国内以现有客户为基础，深化重点行业大客户开发，国外加速构建销售服务网络，重点</w:t>
      </w:r>
      <w:proofErr w:type="gramStart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突破高</w:t>
      </w:r>
      <w:proofErr w:type="gramEnd"/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成长性领域；同时，同步实施品质及创新双轮驱动，在优化现有产品性能指标的基础上，建立动态研发机制推进新产品的开发。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 xml:space="preserve"> 2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、项目建设模块：公司将继续推进项目建设，根据市场行情、客户需求等，合理安排产能投放速度；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3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、技术研发模块：公司将持续开展功能性硅烷高效、绿色生产技术工艺的研究，优化现有功能性硅烷合成线路，深入新型功能性硅烷产品合成及生产技术的研究；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4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人力资源发展模块：公司将坚持“内育为主、外引为辅”方针，构建战略导向型人才管理体系。通过价值观引领与专业能力建设双轮驱动，打造兼具凝聚力与战斗力的专业化团队，为战略实施提供持续人才保障。感谢您对公司的关注！</w:t>
      </w:r>
    </w:p>
    <w:p w14:paraId="6A3C932F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5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、高管您好。请问贵公司本期财务报告中，盈利表现如何？谢谢。</w:t>
      </w:r>
    </w:p>
    <w:p w14:paraId="5CA15C32" w14:textId="77777777" w:rsidR="00F97FBB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Cs/>
          <w:snapToGrid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答：尊敬的投资者，您好！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2024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年度，公司实现营业收入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115,965.35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万元；归属于上市公司股东的净利润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4,136.01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万元；扣除非经常性损益后归属于上市公司股东的净利润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895.06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万元；每股收益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0.13</w:t>
      </w:r>
      <w:r>
        <w:rPr>
          <w:rFonts w:ascii="Times New Roman" w:eastAsiaTheme="minorEastAsia" w:hAnsi="Times New Roman" w:cs="Times New Roman" w:hint="eastAsia"/>
          <w:bCs/>
          <w:snapToGrid/>
          <w:kern w:val="2"/>
          <w:sz w:val="24"/>
          <w:szCs w:val="24"/>
        </w:rPr>
        <w:t>元。感谢您对公司的关注！</w:t>
      </w:r>
    </w:p>
    <w:sectPr w:rsidR="00F97FBB">
      <w:pgSz w:w="11907" w:h="16839"/>
      <w:pgMar w:top="975" w:right="1672" w:bottom="510" w:left="167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bordersDoNotSurroundHeader/>
  <w:bordersDoNotSurroundFooter/>
  <w:proofState w:spelling="clean" w:grammar="clean"/>
  <w:defaultTabStop w:val="420"/>
  <w:noPunctuationKerning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MzMyM2Y2MDg5ZGU5Mzc1N2E3Mjk2OWUwODM5YTAifQ=="/>
  </w:docVars>
  <w:rsids>
    <w:rsidRoot w:val="003647D1"/>
    <w:rsid w:val="000C42FE"/>
    <w:rsid w:val="00125AE3"/>
    <w:rsid w:val="00141900"/>
    <w:rsid w:val="001444F5"/>
    <w:rsid w:val="001B7B0A"/>
    <w:rsid w:val="002D0D8E"/>
    <w:rsid w:val="002E02AE"/>
    <w:rsid w:val="00336A23"/>
    <w:rsid w:val="00345E25"/>
    <w:rsid w:val="00363AE2"/>
    <w:rsid w:val="003647D1"/>
    <w:rsid w:val="0036560D"/>
    <w:rsid w:val="00376172"/>
    <w:rsid w:val="003C7679"/>
    <w:rsid w:val="003E0F5C"/>
    <w:rsid w:val="00550392"/>
    <w:rsid w:val="005A64DB"/>
    <w:rsid w:val="00614A90"/>
    <w:rsid w:val="00617649"/>
    <w:rsid w:val="00641FE9"/>
    <w:rsid w:val="006A4811"/>
    <w:rsid w:val="006B1166"/>
    <w:rsid w:val="006B592A"/>
    <w:rsid w:val="006B7D4D"/>
    <w:rsid w:val="0072467A"/>
    <w:rsid w:val="007E7AC4"/>
    <w:rsid w:val="008164F8"/>
    <w:rsid w:val="00941D9A"/>
    <w:rsid w:val="00981D5C"/>
    <w:rsid w:val="009C6409"/>
    <w:rsid w:val="00A136E1"/>
    <w:rsid w:val="00A55C0F"/>
    <w:rsid w:val="00A82ACE"/>
    <w:rsid w:val="00AC5058"/>
    <w:rsid w:val="00AE346D"/>
    <w:rsid w:val="00D01439"/>
    <w:rsid w:val="00D01F83"/>
    <w:rsid w:val="00D04FF2"/>
    <w:rsid w:val="00D348F3"/>
    <w:rsid w:val="00DA2EB2"/>
    <w:rsid w:val="00EE1C40"/>
    <w:rsid w:val="00F0051C"/>
    <w:rsid w:val="00F54CF3"/>
    <w:rsid w:val="00F97FBB"/>
    <w:rsid w:val="01E3379E"/>
    <w:rsid w:val="12DB153B"/>
    <w:rsid w:val="17776A8B"/>
    <w:rsid w:val="1F172A0A"/>
    <w:rsid w:val="3BB1362D"/>
    <w:rsid w:val="3CD63C0C"/>
    <w:rsid w:val="47E31885"/>
    <w:rsid w:val="5F476079"/>
    <w:rsid w:val="65AA1D91"/>
    <w:rsid w:val="6852545B"/>
    <w:rsid w:val="77860D3A"/>
    <w:rsid w:val="7ADB2818"/>
    <w:rsid w:val="7C1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BA1E7-3435-4954-AA78-767A6C5A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3">
    <w:name w:val="修订3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9">
    <w:name w:val="页眉 字符"/>
    <w:basedOn w:val="a0"/>
    <w:link w:val="a8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b">
    <w:name w:val="批注主题 字符"/>
    <w:basedOn w:val="a4"/>
    <w:link w:val="aa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  <w:style w:type="paragraph" w:customStyle="1" w:styleId="Style6">
    <w:name w:val="_Style 6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2"/>
    </w:rPr>
  </w:style>
  <w:style w:type="paragraph" w:customStyle="1" w:styleId="4">
    <w:name w:val="修订4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oadshow.sseinf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CF3D-DF99-48FF-8A5B-89594F8B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晨光</cp:lastModifiedBy>
  <cp:revision>3</cp:revision>
  <dcterms:created xsi:type="dcterms:W3CDTF">2024-12-09T06:49:00Z</dcterms:created>
  <dcterms:modified xsi:type="dcterms:W3CDTF">2025-05-22T07:25:00Z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2022-05-28T10:03:08Z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7A9D9796EE4D4AFDA4F3CF812861759C_13</vt:lpwstr>
  </property>
  <property fmtid="{D5CDD505-2E9C-101B-9397-08002B2CF9AE}" pid="6" name="KSOTemplateDocerSaveRecord">
    <vt:lpwstr>eyJoZGlkIjoiOTMzMWYwMWY3YzVmZjU3NTZmODU5ZjBkYjBkZDNiYmMiLCJ1c2VySWQiOiIyNTA4MDA1OTgifQ==</vt:lpwstr>
  </property>
</Properties>
</file>