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6E" w:rsidRDefault="00D0216E" w:rsidP="003A2DEF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605198                             </w:t>
      </w:r>
      <w:r>
        <w:rPr>
          <w:rFonts w:hint="eastAsia"/>
          <w:color w:val="000000"/>
          <w:sz w:val="24"/>
        </w:rPr>
        <w:t xml:space="preserve">      </w:t>
      </w:r>
      <w:r w:rsidR="003A2DEF"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 xml:space="preserve">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安德利</w:t>
      </w:r>
    </w:p>
    <w:p w:rsidR="00D0216E" w:rsidRPr="00D0216E" w:rsidRDefault="00D0216E" w:rsidP="00D0216E">
      <w:pPr>
        <w:spacing w:beforeLines="150" w:before="468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6"/>
          <w:szCs w:val="36"/>
        </w:rPr>
      </w:pPr>
      <w:r w:rsidRPr="00D0216E">
        <w:rPr>
          <w:rFonts w:ascii="宋体" w:hAnsi="宋体"/>
          <w:b/>
          <w:bCs/>
          <w:iCs/>
          <w:color w:val="FF0000"/>
          <w:sz w:val="36"/>
          <w:szCs w:val="36"/>
        </w:rPr>
        <w:t>烟台北方安德利果汁股份有限公司</w:t>
      </w:r>
    </w:p>
    <w:p w:rsidR="00D0216E" w:rsidRPr="00D0216E" w:rsidRDefault="00D0216E" w:rsidP="00D0216E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6"/>
          <w:szCs w:val="36"/>
        </w:rPr>
      </w:pPr>
      <w:r w:rsidRPr="00D0216E">
        <w:rPr>
          <w:rFonts w:ascii="宋体" w:hAnsi="宋体" w:hint="eastAsia"/>
          <w:b/>
          <w:bCs/>
          <w:iCs/>
          <w:color w:val="FF0000"/>
          <w:sz w:val="36"/>
          <w:szCs w:val="36"/>
        </w:rPr>
        <w:t>投资者关系活动记录表</w:t>
      </w:r>
    </w:p>
    <w:p w:rsidR="00425907" w:rsidRDefault="00425907" w:rsidP="00425907">
      <w:pPr>
        <w:spacing w:afterLines="50" w:after="156" w:line="400" w:lineRule="exact"/>
        <w:ind w:firstLineChars="2850" w:firstLine="684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编号</w:t>
      </w:r>
      <w:r>
        <w:rPr>
          <w:rFonts w:hint="eastAsia"/>
          <w:bCs/>
          <w:iCs/>
          <w:color w:val="000000"/>
          <w:sz w:val="24"/>
        </w:rPr>
        <w:t>：</w:t>
      </w:r>
      <w:r>
        <w:rPr>
          <w:rFonts w:hint="eastAsia"/>
          <w:bCs/>
          <w:iCs/>
          <w:color w:val="000000"/>
          <w:sz w:val="24"/>
        </w:rPr>
        <w:t>2025-00</w:t>
      </w:r>
      <w:r w:rsidR="0027762B">
        <w:rPr>
          <w:rFonts w:hint="eastAsia"/>
          <w:bCs/>
          <w:iCs/>
          <w:color w:val="000000"/>
          <w:sz w:val="24"/>
        </w:rPr>
        <w:t>2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433"/>
      </w:tblGrid>
      <w:tr w:rsidR="00D0216E" w:rsidRPr="00000DD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000DDE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D0216E" w:rsidRPr="00000DDE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6E" w:rsidRPr="00000DDE" w:rsidRDefault="00531A8A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√ </w:t>
            </w:r>
            <w:r w:rsidR="00D0216E" w:rsidRPr="00000DDE">
              <w:rPr>
                <w:rFonts w:ascii="宋体" w:hAnsi="宋体"/>
                <w:kern w:val="0"/>
                <w:sz w:val="24"/>
              </w:rPr>
              <w:t xml:space="preserve">特定对象调研       </w:t>
            </w:r>
            <w:r w:rsidR="00D0216E" w:rsidRPr="00000DDE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27762B"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√</w:t>
            </w:r>
            <w:r w:rsidR="00D0216E"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D0216E" w:rsidRPr="00000DDE">
              <w:rPr>
                <w:rFonts w:ascii="宋体" w:hAnsi="宋体"/>
                <w:kern w:val="0"/>
                <w:sz w:val="24"/>
              </w:rPr>
              <w:t>分析师会议</w:t>
            </w:r>
          </w:p>
          <w:p w:rsidR="00D0216E" w:rsidRPr="00000DDE" w:rsidRDefault="00D0216E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00DDE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="00B7583D"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00DDE">
              <w:rPr>
                <w:rFonts w:ascii="宋体" w:hAnsi="宋体"/>
                <w:kern w:val="0"/>
                <w:sz w:val="24"/>
              </w:rPr>
              <w:t>业绩说明会</w:t>
            </w:r>
          </w:p>
          <w:p w:rsidR="00D0216E" w:rsidRPr="00000DDE" w:rsidRDefault="00D0216E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00DDE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="003B27F2"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00DDE">
              <w:rPr>
                <w:rFonts w:ascii="宋体" w:hAnsi="宋体"/>
                <w:kern w:val="0"/>
                <w:sz w:val="24"/>
              </w:rPr>
              <w:t>路演活动</w:t>
            </w:r>
          </w:p>
          <w:p w:rsidR="00D0216E" w:rsidRPr="00000DDE" w:rsidRDefault="00531A8A" w:rsidP="00F63C3E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√</w:t>
            </w:r>
            <w:r w:rsidR="00D0216E"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D0216E" w:rsidRPr="00000DDE">
              <w:rPr>
                <w:rFonts w:ascii="宋体" w:hAnsi="宋体"/>
                <w:kern w:val="0"/>
                <w:sz w:val="24"/>
              </w:rPr>
              <w:t>现场参观</w:t>
            </w:r>
            <w:r w:rsidR="00D0216E" w:rsidRPr="00000DD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:rsidR="00D0216E" w:rsidRPr="00000DDE" w:rsidRDefault="0027762B" w:rsidP="0027762B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00DD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B7583D" w:rsidRPr="00000DDE">
              <w:rPr>
                <w:rFonts w:ascii="宋体" w:hAnsi="宋体" w:hint="eastAsia"/>
                <w:kern w:val="0"/>
                <w:sz w:val="24"/>
              </w:rPr>
              <w:t>其他</w:t>
            </w:r>
          </w:p>
        </w:tc>
      </w:tr>
      <w:tr w:rsidR="00531A8A" w:rsidRPr="00000DD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8A" w:rsidRPr="00000DDE" w:rsidRDefault="00531A8A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8A" w:rsidRPr="00000DDE" w:rsidRDefault="00531A8A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  <w:lang w:val="en-GB"/>
              </w:rPr>
            </w:pPr>
            <w:r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√ </w:t>
            </w:r>
            <w:r w:rsidRPr="00000DDE">
              <w:rPr>
                <w:rFonts w:ascii="宋体" w:hAnsi="宋体"/>
                <w:kern w:val="0"/>
                <w:sz w:val="24"/>
              </w:rPr>
              <w:t>现场</w:t>
            </w:r>
            <w:r w:rsidRPr="00000DDE">
              <w:rPr>
                <w:rFonts w:ascii="宋体" w:hAnsi="宋体" w:hint="eastAsia"/>
                <w:kern w:val="0"/>
                <w:sz w:val="24"/>
              </w:rPr>
              <w:t xml:space="preserve">                 </w:t>
            </w:r>
            <w:r w:rsidRPr="00000DD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00DDE">
              <w:rPr>
                <w:rFonts w:ascii="宋体" w:hAnsi="宋体"/>
                <w:kern w:val="0"/>
                <w:sz w:val="24"/>
              </w:rPr>
              <w:t>电话会议</w:t>
            </w:r>
          </w:p>
        </w:tc>
      </w:tr>
      <w:tr w:rsidR="00D0216E" w:rsidRPr="00000DD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000DDE" w:rsidRDefault="00D0216E" w:rsidP="00531A8A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6E" w:rsidRPr="00000DDE" w:rsidRDefault="00EB025A" w:rsidP="00F31293">
            <w:pPr>
              <w:spacing w:beforeLines="50" w:before="156" w:afterLines="50" w:after="156"/>
              <w:rPr>
                <w:rFonts w:ascii="宋体" w:hAnsi="宋体"/>
                <w:bCs/>
                <w:iCs/>
                <w:color w:val="000000"/>
                <w:sz w:val="24"/>
                <w:lang w:val="en-GB"/>
              </w:rPr>
            </w:pPr>
            <w:r w:rsidRPr="00EB025A">
              <w:rPr>
                <w:rFonts w:hint="eastAsia"/>
                <w:color w:val="000000"/>
                <w:sz w:val="24"/>
              </w:rPr>
              <w:t>中信证券、中金公司、长江证券、国联民生证券、招商证券、民生证券、方正证券、东北证券、信达证券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EB025A">
              <w:rPr>
                <w:rFonts w:hint="eastAsia"/>
                <w:color w:val="000000"/>
                <w:sz w:val="24"/>
              </w:rPr>
              <w:t>华夏基金、南方基金、兴全基金、建信养老基金、招银理财、万家基金、长城基金、华泰柏瑞、申万宏源、安信基金、淳厚基金、太保资管、国泰海</w:t>
            </w:r>
            <w:proofErr w:type="gramStart"/>
            <w:r w:rsidRPr="00EB025A">
              <w:rPr>
                <w:rFonts w:hint="eastAsia"/>
                <w:color w:val="000000"/>
                <w:sz w:val="24"/>
              </w:rPr>
              <w:t>通资管</w:t>
            </w:r>
            <w:proofErr w:type="gramEnd"/>
            <w:r w:rsidRPr="00EB025A">
              <w:rPr>
                <w:rFonts w:hint="eastAsia"/>
                <w:color w:val="000000"/>
                <w:sz w:val="24"/>
              </w:rPr>
              <w:t>、中</w:t>
            </w:r>
            <w:proofErr w:type="gramStart"/>
            <w:r w:rsidRPr="00EB025A">
              <w:rPr>
                <w:rFonts w:hint="eastAsia"/>
                <w:color w:val="000000"/>
                <w:sz w:val="24"/>
              </w:rPr>
              <w:t>信保诚资管</w:t>
            </w:r>
            <w:proofErr w:type="gramEnd"/>
            <w:r w:rsidRPr="00EB025A">
              <w:rPr>
                <w:rFonts w:hint="eastAsia"/>
                <w:color w:val="000000"/>
                <w:sz w:val="24"/>
              </w:rPr>
              <w:t>、立心基金、爱建</w:t>
            </w:r>
            <w:proofErr w:type="gramStart"/>
            <w:r w:rsidRPr="00EB025A">
              <w:rPr>
                <w:rFonts w:hint="eastAsia"/>
                <w:color w:val="000000"/>
                <w:sz w:val="24"/>
              </w:rPr>
              <w:t>证券资管等</w:t>
            </w:r>
            <w:proofErr w:type="gramEnd"/>
            <w:r>
              <w:rPr>
                <w:rFonts w:hint="eastAsia"/>
                <w:color w:val="000000"/>
                <w:sz w:val="24"/>
              </w:rPr>
              <w:t>（排名不分先后）</w:t>
            </w:r>
          </w:p>
        </w:tc>
      </w:tr>
      <w:tr w:rsidR="00D0216E" w:rsidRPr="00000DD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000DDE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6E" w:rsidRPr="00000DDE" w:rsidRDefault="00D0216E" w:rsidP="00531A8A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00DDE">
              <w:rPr>
                <w:rFonts w:ascii="宋体" w:hAnsi="宋体"/>
                <w:bCs/>
                <w:iCs/>
                <w:color w:val="000000"/>
                <w:sz w:val="24"/>
              </w:rPr>
              <w:t>2025年5月</w:t>
            </w:r>
            <w:r w:rsidR="0027762B" w:rsidRPr="00000DDE">
              <w:rPr>
                <w:rFonts w:ascii="宋体" w:hAnsi="宋体" w:hint="eastAsia"/>
                <w:bCs/>
                <w:iCs/>
                <w:color w:val="000000"/>
                <w:sz w:val="24"/>
              </w:rPr>
              <w:t>23</w:t>
            </w:r>
            <w:r w:rsidRPr="00000DDE">
              <w:rPr>
                <w:rFonts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:rsidR="00D0216E" w:rsidRPr="00000DD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000DDE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6E" w:rsidRPr="00000DDE" w:rsidRDefault="0027762B" w:rsidP="00B7583D">
            <w:pPr>
              <w:spacing w:line="420" w:lineRule="exact"/>
              <w:rPr>
                <w:rFonts w:ascii="宋体" w:hAnsi="宋体" w:cs="宋体"/>
                <w:sz w:val="24"/>
              </w:rPr>
            </w:pPr>
            <w:r w:rsidRPr="00000DDE">
              <w:rPr>
                <w:rFonts w:ascii="宋体" w:hAnsi="宋体" w:cs="宋体"/>
                <w:sz w:val="24"/>
              </w:rPr>
              <w:t>公司会议室</w:t>
            </w:r>
          </w:p>
        </w:tc>
      </w:tr>
      <w:tr w:rsidR="00D0216E" w:rsidRPr="00000DD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000DDE" w:rsidRDefault="00D0216E" w:rsidP="003B27F2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000DDE" w:rsidRDefault="00531A8A" w:rsidP="00531A8A">
            <w:pPr>
              <w:pStyle w:val="a6"/>
              <w:numPr>
                <w:ilvl w:val="0"/>
                <w:numId w:val="1"/>
              </w:numPr>
              <w:spacing w:line="420" w:lineRule="exact"/>
              <w:ind w:firstLineChars="0"/>
              <w:rPr>
                <w:rFonts w:ascii="宋体" w:hAnsi="宋体"/>
                <w:bCs/>
                <w:sz w:val="24"/>
              </w:rPr>
            </w:pPr>
            <w:r w:rsidRPr="00000DDE">
              <w:rPr>
                <w:rFonts w:ascii="宋体" w:hAnsi="宋体"/>
                <w:bCs/>
                <w:sz w:val="24"/>
              </w:rPr>
              <w:t>董事：张伟</w:t>
            </w:r>
          </w:p>
          <w:p w:rsidR="00D0216E" w:rsidRPr="00000DDE" w:rsidRDefault="004C32EE" w:rsidP="00531A8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 w:rsidR="00D0216E" w:rsidRPr="00000DDE">
              <w:rPr>
                <w:rFonts w:ascii="宋体" w:hAnsi="宋体"/>
                <w:bCs/>
                <w:sz w:val="24"/>
              </w:rPr>
              <w:t>、副总裁、财务总监兼董事会秘书</w:t>
            </w:r>
            <w:r>
              <w:rPr>
                <w:rFonts w:ascii="宋体" w:hAnsi="宋体"/>
                <w:bCs/>
                <w:sz w:val="24"/>
              </w:rPr>
              <w:t>：</w:t>
            </w:r>
            <w:r w:rsidR="00D0216E" w:rsidRPr="00000DDE">
              <w:rPr>
                <w:rFonts w:ascii="宋体" w:hAnsi="宋体"/>
                <w:bCs/>
                <w:sz w:val="24"/>
              </w:rPr>
              <w:t>王艳辉</w:t>
            </w:r>
          </w:p>
        </w:tc>
      </w:tr>
      <w:tr w:rsidR="00D0216E" w:rsidRPr="00000DD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000DDE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D0216E" w:rsidRPr="00000DDE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1" w:rsidRDefault="00A90221" w:rsidP="002721F9">
            <w:pPr>
              <w:pStyle w:val="Style6"/>
              <w:spacing w:before="12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2721F9">
              <w:rPr>
                <w:rFonts w:ascii="宋体" w:hAnsi="宋体"/>
                <w:b/>
                <w:sz w:val="24"/>
                <w:szCs w:val="24"/>
              </w:rPr>
              <w:t>投资者提出的问题及公司回复情况</w:t>
            </w:r>
            <w:r w:rsidR="002342C5">
              <w:rPr>
                <w:rFonts w:ascii="宋体" w:hAnsi="宋体"/>
                <w:b/>
                <w:sz w:val="24"/>
                <w:szCs w:val="24"/>
              </w:rPr>
              <w:t>：</w:t>
            </w:r>
          </w:p>
          <w:p w:rsidR="00E36F5A" w:rsidRPr="002721F9" w:rsidRDefault="00E36F5A" w:rsidP="00E36F5A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、我国浓缩果汁在国际上的竞争力如何？</w:t>
            </w:r>
          </w:p>
          <w:p w:rsidR="00E36F5A" w:rsidRPr="002721F9" w:rsidRDefault="00E36F5A" w:rsidP="00E36F5A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我国浓缩果汁产业在国际上有很强的竞争力：一是苹果资源优势：从自然条件看，我国苹果产区跨度大，能满足苹果生长所需的冬季低温休眠和生长季温度适合、光照充足的条件，产出的苹果品质优良、糖分和酸度平衡好，为生产纯天然的原浆浓缩果汁提供优质原料。我国是世界最大的苹果种植与生产国，2023/2024市场年度产量为4,500万吨，占世界产量54%。丰富的苹果资源使得我国在浓缩果汁生产上具备原料优势，能够以相对较低的成本生产出大量的浓缩果汁。我国苹果产区集中，便于原料的集</w:t>
            </w:r>
            <w:r w:rsidRPr="002721F9">
              <w:rPr>
                <w:rFonts w:ascii="宋体" w:hAnsi="宋体" w:hint="eastAsia"/>
                <w:sz w:val="24"/>
                <w:szCs w:val="24"/>
              </w:rPr>
              <w:lastRenderedPageBreak/>
              <w:t>中采购和运输，这也降低了生产成本。上述因素使我国企业能够在国际市场上以更强供给能力、更具竞争力的价格提供浓缩苹果汁产品。</w:t>
            </w:r>
          </w:p>
          <w:p w:rsidR="00E36F5A" w:rsidRDefault="00E36F5A" w:rsidP="00E36F5A">
            <w:pPr>
              <w:pStyle w:val="Style6"/>
              <w:spacing w:before="12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二是产品质量优势：近年来，我国浓缩果汁企业注重技术创新和质量提升，不断引进先进的生产设备和技术，加强质量控制体系建设。许多企业通过了国际标准认证，如ISO9001、HACCP、BRC等，产品质量得到国际市场的认可。如安德利公司建立了设施先进的研发实验室和检测中心，组建了经验丰富的质控检测及新产品开发队伍，其产品先后获得“中国名牌产品”“国家科学技术进步二等奖”等荣誉，这使得我国浓缩果汁在国际市场上的竞争力不断增强。感谢您对公司的支持与关注！</w:t>
            </w:r>
          </w:p>
          <w:p w:rsidR="00E36F5A" w:rsidRPr="00E36F5A" w:rsidRDefault="00E36F5A" w:rsidP="00E36F5A">
            <w:pPr>
              <w:pStyle w:val="Style6"/>
              <w:spacing w:before="12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E36F5A">
              <w:rPr>
                <w:rFonts w:ascii="宋体" w:hAnsi="宋体" w:hint="eastAsia"/>
                <w:b/>
                <w:sz w:val="24"/>
                <w:szCs w:val="24"/>
              </w:rPr>
              <w:t>、安德利在2023年收购阿克苏恒通与2024年收购延安富县恒兴果汁资产后，如何进一步整合该资产以提升整体盈利能力？</w:t>
            </w:r>
          </w:p>
          <w:p w:rsidR="00E36F5A" w:rsidRPr="00E36F5A" w:rsidRDefault="00E36F5A" w:rsidP="00E36F5A">
            <w:pPr>
              <w:pStyle w:val="Style6"/>
              <w:spacing w:before="12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E36F5A">
              <w:rPr>
                <w:rFonts w:ascii="宋体" w:hAnsi="宋体" w:hint="eastAsia"/>
                <w:sz w:val="24"/>
                <w:szCs w:val="24"/>
              </w:rPr>
              <w:t>尊敬的投资者您好，感谢您的提问。公司2023年收购恒通果汁位于阿克苏地区的资产、2024年收购恒兴果汁位于延安富县的资产以来，两处新增产能布局均已投产，2024年公司的果汁产量在2023年基础上继续保持了增长态势。公司利用当地丰富的苹果资源，优化原料采购渠道，降低生产成本。同时，公司持续通过技术改造与增加投资，进一步扩大产量，以拓展市场份额，提升整体盈利能力。感谢您对公司的支持与关注！</w:t>
            </w:r>
          </w:p>
          <w:p w:rsidR="00D0216E" w:rsidRPr="002721F9" w:rsidRDefault="00E36F5A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2721F9" w:rsidRPr="002721F9">
              <w:rPr>
                <w:rFonts w:ascii="宋体" w:hAnsi="宋体"/>
                <w:b/>
                <w:sz w:val="24"/>
                <w:szCs w:val="24"/>
              </w:rPr>
              <w:t>、您好，2024年经营性</w:t>
            </w:r>
            <w:proofErr w:type="gramStart"/>
            <w:r w:rsidR="002721F9" w:rsidRPr="002721F9">
              <w:rPr>
                <w:rFonts w:ascii="宋体" w:hAnsi="宋体"/>
                <w:b/>
                <w:sz w:val="24"/>
                <w:szCs w:val="24"/>
              </w:rPr>
              <w:t>现金流由正转</w:t>
            </w:r>
            <w:proofErr w:type="gramEnd"/>
            <w:r w:rsidR="002721F9" w:rsidRPr="002721F9">
              <w:rPr>
                <w:rFonts w:ascii="宋体" w:hAnsi="宋体"/>
                <w:b/>
                <w:sz w:val="24"/>
                <w:szCs w:val="24"/>
              </w:rPr>
              <w:t>负，但公司</w:t>
            </w:r>
            <w:proofErr w:type="gramStart"/>
            <w:r w:rsidR="002721F9" w:rsidRPr="002721F9">
              <w:rPr>
                <w:rFonts w:ascii="宋体" w:hAnsi="宋体"/>
                <w:b/>
                <w:sz w:val="24"/>
                <w:szCs w:val="24"/>
              </w:rPr>
              <w:t>仍承诺高</w:t>
            </w:r>
            <w:proofErr w:type="gramEnd"/>
            <w:r w:rsidR="002721F9" w:rsidRPr="002721F9">
              <w:rPr>
                <w:rFonts w:ascii="宋体" w:hAnsi="宋体"/>
                <w:b/>
                <w:sz w:val="24"/>
                <w:szCs w:val="24"/>
              </w:rPr>
              <w:t>比例分红。如何平衡扩张投入与股东回报？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/>
                <w:sz w:val="24"/>
                <w:szCs w:val="24"/>
              </w:rPr>
              <w:t>尊敬的投资者您好，感谢您的提问。果汁生产具有季节性（榨季集中在</w:t>
            </w:r>
            <w:r w:rsidR="002342C5">
              <w:rPr>
                <w:rFonts w:ascii="宋体" w:hAnsi="宋体"/>
                <w:sz w:val="24"/>
                <w:szCs w:val="24"/>
              </w:rPr>
              <w:t>7-12</w:t>
            </w:r>
            <w:r w:rsidRPr="002721F9">
              <w:rPr>
                <w:rFonts w:ascii="宋体" w:hAnsi="宋体"/>
                <w:sz w:val="24"/>
                <w:szCs w:val="24"/>
              </w:rPr>
              <w:t>月），2024年为填补行业供给缺口、保障</w:t>
            </w:r>
            <w:r w:rsidR="002342C5">
              <w:rPr>
                <w:rFonts w:ascii="宋体" w:hAnsi="宋体"/>
                <w:sz w:val="24"/>
                <w:szCs w:val="24"/>
              </w:rPr>
              <w:t>2025</w:t>
            </w:r>
            <w:r w:rsidRPr="002721F9">
              <w:rPr>
                <w:rFonts w:ascii="宋体" w:hAnsi="宋体"/>
                <w:sz w:val="24"/>
                <w:szCs w:val="24"/>
              </w:rPr>
              <w:t>年销售增长，以及新增阿克苏公司和延安公司，公司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产量</w:t>
            </w:r>
            <w:r w:rsidRPr="002721F9">
              <w:rPr>
                <w:rFonts w:ascii="宋体" w:hAnsi="宋体"/>
                <w:sz w:val="24"/>
                <w:szCs w:val="24"/>
              </w:rPr>
              <w:t>增加，进一步推高现金流出。全年购买商品、接受劳务支付的现金增长。</w:t>
            </w:r>
          </w:p>
          <w:p w:rsid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/>
                <w:sz w:val="24"/>
                <w:szCs w:val="24"/>
              </w:rPr>
              <w:t>公司</w:t>
            </w:r>
            <w:r w:rsidR="00F31293">
              <w:rPr>
                <w:rFonts w:ascii="宋体" w:hAnsi="宋体"/>
                <w:sz w:val="24"/>
                <w:szCs w:val="24"/>
              </w:rPr>
              <w:t>2024</w:t>
            </w:r>
            <w:r w:rsidRPr="002721F9">
              <w:rPr>
                <w:rFonts w:ascii="宋体" w:hAnsi="宋体"/>
                <w:sz w:val="24"/>
                <w:szCs w:val="24"/>
              </w:rPr>
              <w:t>年现金流波动是短期产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量</w:t>
            </w:r>
            <w:r w:rsidRPr="002721F9">
              <w:rPr>
                <w:rFonts w:ascii="宋体" w:hAnsi="宋体"/>
                <w:sz w:val="24"/>
                <w:szCs w:val="24"/>
              </w:rPr>
              <w:t>扩张的阶段性结果，长期看，收购整合带来的规模效应、产品结构升级及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产品</w:t>
            </w:r>
            <w:r w:rsidRPr="002721F9">
              <w:rPr>
                <w:rFonts w:ascii="宋体" w:hAnsi="宋体"/>
                <w:sz w:val="24"/>
                <w:szCs w:val="24"/>
              </w:rPr>
              <w:t>多元化将增强盈利能</w:t>
            </w:r>
            <w:r w:rsidRPr="002721F9">
              <w:rPr>
                <w:rFonts w:ascii="宋体" w:hAnsi="宋体"/>
                <w:sz w:val="24"/>
                <w:szCs w:val="24"/>
              </w:rPr>
              <w:lastRenderedPageBreak/>
              <w:t>力。</w:t>
            </w:r>
            <w:r w:rsidR="00F31293">
              <w:rPr>
                <w:rFonts w:ascii="宋体" w:hAnsi="宋体"/>
                <w:sz w:val="24"/>
                <w:szCs w:val="24"/>
              </w:rPr>
              <w:t>2025</w:t>
            </w:r>
            <w:r w:rsidRPr="002721F9">
              <w:rPr>
                <w:rFonts w:ascii="宋体" w:hAnsi="宋体"/>
                <w:sz w:val="24"/>
                <w:szCs w:val="24"/>
              </w:rPr>
              <w:t>年一季度销售回款增加，经营现金流明显增长。高比例分红承诺体现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了公司</w:t>
            </w:r>
            <w:r w:rsidRPr="002721F9">
              <w:rPr>
                <w:rFonts w:ascii="宋体" w:hAnsi="宋体"/>
                <w:sz w:val="24"/>
                <w:szCs w:val="24"/>
              </w:rPr>
              <w:t>对未来业绩的信心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。</w:t>
            </w:r>
            <w:r w:rsidRPr="002721F9">
              <w:rPr>
                <w:rFonts w:ascii="宋体" w:hAnsi="宋体"/>
                <w:sz w:val="24"/>
                <w:szCs w:val="24"/>
              </w:rPr>
              <w:t>通过优化运营效率与资本配置，公司有望实现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业绩进一步增长</w:t>
            </w:r>
            <w:r w:rsidRPr="002721F9">
              <w:rPr>
                <w:rFonts w:ascii="宋体" w:hAnsi="宋体"/>
                <w:sz w:val="24"/>
                <w:szCs w:val="24"/>
              </w:rPr>
              <w:t>。感谢您对公司的支持与关注！</w:t>
            </w:r>
          </w:p>
          <w:p w:rsidR="00E36F5A" w:rsidRPr="002721F9" w:rsidRDefault="00E36F5A" w:rsidP="00E36F5A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、请介绍一下公司的分红、回购实施情况？</w:t>
            </w:r>
          </w:p>
          <w:p w:rsidR="00E36F5A" w:rsidRPr="002721F9" w:rsidRDefault="00E36F5A" w:rsidP="00E36F5A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公司收入、盈利能力在持续优化的同时，也在不断加大分红、回购力度以回报投资者。公司自2003年在港股上市以来，累计分红5.5亿元人民币；截至2024年末，累计回购金额5.35亿港币。其中，2020-2024年度，分别每10股派息0.5元、0.5元、1.0元、2.2元和2.5元，每10股派息金额持续增加；同时，2020-2024年度，分别回购H股1,070万股、960万股、870万股、780万股，支付2.99亿港币，并将回购的总计3,680万股注销。公司上市以来通过分红和回购回报投资者金已远超H股与A股累计融资的6.65亿元。感谢您对公司的支持与关注！</w:t>
            </w:r>
          </w:p>
          <w:p w:rsidR="002721F9" w:rsidRPr="002721F9" w:rsidRDefault="00E36F5A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、今年以来公司股价大幅上涨，公司生产经营基本面是否有哪方面的重大利好？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尊敬的投资者您好，感谢您的提问。公司股价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波动受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多种因素影响，属于市场因素综合作用的结果。目前公司生产经营活动一切正常，不存在应披露而未披露的重大事项。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从经营数据来看，2024 年公司营业收入为</w:t>
            </w:r>
            <w:r>
              <w:rPr>
                <w:rFonts w:ascii="宋体" w:hAnsi="宋体" w:hint="eastAsia"/>
                <w:sz w:val="24"/>
                <w:szCs w:val="24"/>
              </w:rPr>
              <w:t>14.18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亿元，同比增长61.85%；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归母净利润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为</w:t>
            </w:r>
            <w:r>
              <w:rPr>
                <w:rFonts w:ascii="宋体" w:hAnsi="宋体" w:hint="eastAsia"/>
                <w:sz w:val="24"/>
                <w:szCs w:val="24"/>
              </w:rPr>
              <w:t>2.61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亿元，同比增长2.03%。</w:t>
            </w:r>
            <w:r>
              <w:rPr>
                <w:rFonts w:ascii="宋体" w:hAnsi="宋体" w:hint="eastAsia"/>
                <w:sz w:val="24"/>
                <w:szCs w:val="24"/>
              </w:rPr>
              <w:t>2025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1-3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月，公司实现营业收入</w:t>
            </w:r>
            <w:r>
              <w:rPr>
                <w:rFonts w:ascii="宋体" w:hAnsi="宋体" w:hint="eastAsia"/>
                <w:sz w:val="24"/>
                <w:szCs w:val="24"/>
              </w:rPr>
              <w:t>4.30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亿元，同比增长58.98%；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归母净利润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8,606.82万元，同比增长</w:t>
            </w:r>
            <w:r>
              <w:rPr>
                <w:rFonts w:ascii="宋体" w:hAnsi="宋体" w:hint="eastAsia"/>
                <w:sz w:val="24"/>
                <w:szCs w:val="24"/>
              </w:rPr>
              <w:t>61.31%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。增长原因包括客户订单需求增加，导致浓缩果汁销售数量大幅增长，以及</w:t>
            </w:r>
            <w:r w:rsidR="002342C5">
              <w:rPr>
                <w:rFonts w:ascii="宋体" w:hAnsi="宋体" w:hint="eastAsia"/>
                <w:sz w:val="24"/>
                <w:szCs w:val="24"/>
              </w:rPr>
              <w:t>2023-2024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年先后收购阿克苏与富县工厂提升了产能等。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公司将持续做好生产经营管理，不断提升公司价值，以良好业绩回报广大投资者。股市有风险，投资需谨慎，感谢您对公司的支持与关注！</w:t>
            </w:r>
          </w:p>
          <w:p w:rsidR="002721F9" w:rsidRPr="002721F9" w:rsidRDefault="00E36F5A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6</w:t>
            </w:r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、请问，出口销售美国占比？目前受关税影响如何？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尊敬的投资者您好，感谢您的提问。2024年对美出口销售额1.8亿元，占总销售额12.8%。由于美国是世界浓缩苹果汁的主要需求国，也是中国浓缩苹果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汁主要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出口国。公司短期受到加征关税影响，但公司通过开发非美市场、控制成本等多方面的措施积极应对。从2018年美国加征关税之后的运营情况来看，公司面对外部不利因素时，展现出了较强的适应能力和韧性，通过优化成本控制、拓展市场和产品创新等方式，降低关税负面影响，保持从2018年以来盈利能力的稳定增长，具体数据可关注公司的定期报告。感谢您对公司的支持与关注！</w:t>
            </w:r>
          </w:p>
          <w:p w:rsidR="002721F9" w:rsidRPr="002721F9" w:rsidRDefault="00E36F5A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、请问公司最大竞争对手是谁？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尊敬的投资者您好，感谢您的提问。国内浓缩苹果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汁行业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发展历程中，曾呈现“四大家”格局，其中海升、恒通近年因经营困难及诉讼等问题，产能和产量显著下降。目前行业格局已转变为安德利与国投中鲁主导的“两大家”，中小企业难以完全满足下游需求，市场呈现供给趋紧态势。行业竞争格局的变化既带来挑战也伴随机遇，公司将持续聚焦自身优势，通过优化产能、提升产品竞争力巩固市场地位，感谢您对公司的支持与关注！</w:t>
            </w:r>
          </w:p>
          <w:p w:rsidR="002721F9" w:rsidRPr="002721F9" w:rsidRDefault="00E36F5A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、您好！目前港股安德利果汁的股价不到上交所安德利的三分之一，港股价</w:t>
            </w:r>
            <w:proofErr w:type="gramStart"/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值严重</w:t>
            </w:r>
            <w:proofErr w:type="gramEnd"/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被低估，公司今年是否有继续回购港股安德利果汁股份并注销的计划安排？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</w:t>
            </w:r>
            <w:r w:rsidR="00E36F5A">
              <w:rPr>
                <w:rFonts w:ascii="宋体" w:hAnsi="宋体" w:hint="eastAsia"/>
                <w:sz w:val="24"/>
                <w:szCs w:val="24"/>
              </w:rPr>
              <w:t>2020-2024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年，公司分别回购</w:t>
            </w:r>
            <w:r w:rsidR="00F31293">
              <w:rPr>
                <w:rFonts w:ascii="宋体" w:hAnsi="宋体" w:hint="eastAsia"/>
                <w:sz w:val="24"/>
                <w:szCs w:val="24"/>
              </w:rPr>
              <w:t>H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股</w:t>
            </w:r>
            <w:r w:rsidR="00F31293">
              <w:rPr>
                <w:rFonts w:ascii="宋体" w:hAnsi="宋体" w:hint="eastAsia"/>
                <w:sz w:val="24"/>
                <w:szCs w:val="24"/>
              </w:rPr>
              <w:t>1,070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万股、</w:t>
            </w:r>
            <w:r w:rsidR="00F31293">
              <w:rPr>
                <w:rFonts w:ascii="宋体" w:hAnsi="宋体" w:hint="eastAsia"/>
                <w:sz w:val="24"/>
                <w:szCs w:val="24"/>
              </w:rPr>
              <w:t>960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万股、</w:t>
            </w:r>
            <w:r w:rsidR="00F31293">
              <w:rPr>
                <w:rFonts w:ascii="宋体" w:hAnsi="宋体" w:hint="eastAsia"/>
                <w:sz w:val="24"/>
                <w:szCs w:val="24"/>
              </w:rPr>
              <w:t>870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万股、</w:t>
            </w:r>
            <w:r w:rsidR="00F31293">
              <w:rPr>
                <w:rFonts w:ascii="宋体" w:hAnsi="宋体" w:hint="eastAsia"/>
                <w:sz w:val="24"/>
                <w:szCs w:val="24"/>
              </w:rPr>
              <w:t>780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万股，累计支付</w:t>
            </w:r>
            <w:r w:rsidR="00F31293">
              <w:rPr>
                <w:rFonts w:ascii="宋体" w:hAnsi="宋体" w:hint="eastAsia"/>
                <w:sz w:val="24"/>
                <w:szCs w:val="24"/>
              </w:rPr>
              <w:t>2.99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亿港币，并注销总计3,680万股。自港股上市以来，公司已累计</w:t>
            </w:r>
            <w:r w:rsidR="00F31293">
              <w:rPr>
                <w:rFonts w:ascii="宋体" w:hAnsi="宋体" w:hint="eastAsia"/>
                <w:sz w:val="24"/>
                <w:szCs w:val="24"/>
              </w:rPr>
              <w:t>9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次回购，累计支付金额达5.35亿港币。公司在收入与盈利能力持续优化的同时，不断加大分红及回购力度以回报投资者，2024年度股东大会已经审议了回购授权议案，2025年若有回购将按照相关规定及时公告。感谢您对公司的支持与关注！</w:t>
            </w:r>
          </w:p>
          <w:p w:rsidR="002721F9" w:rsidRPr="002721F9" w:rsidRDefault="00E36F5A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9</w:t>
            </w:r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、未来公司是否会采用HPP技术？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尊敬的投资者您好，感谢您的提问。公司目前以浓缩果汁为主要产品，产品涵盖浓缩苹果汁、梨汁等传统品类，同时已进行多元化延伸和产品升级，开发了脱色脱酸浓缩果汁（苹果果糖）、</w:t>
            </w:r>
            <w:r w:rsidR="00F31293">
              <w:rPr>
                <w:rFonts w:ascii="宋体" w:hAnsi="宋体" w:hint="eastAsia"/>
                <w:sz w:val="24"/>
                <w:szCs w:val="24"/>
              </w:rPr>
              <w:t>NFC</w:t>
            </w:r>
            <w:r w:rsidRPr="002721F9">
              <w:rPr>
                <w:rFonts w:ascii="宋体" w:hAnsi="宋体" w:hint="eastAsia"/>
                <w:sz w:val="24"/>
                <w:szCs w:val="24"/>
              </w:rPr>
              <w:t>苹果汁、苹果浊汁、桃汁、山楂汁、番茄汁、橙汁、柠檬汁等多品种果汁。HPP果汁即超高压冷杀菌果汁，公司目前暂没有生产相关产品，但将持续关注有关产品技术及市场发展机会。感谢您对公司的支持与关注！</w:t>
            </w:r>
          </w:p>
          <w:p w:rsidR="002721F9" w:rsidRPr="002721F9" w:rsidRDefault="00E36F5A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10</w:t>
            </w:r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、您好，公司2025年将采取哪些措施优化成本结构，提升毛利率？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尊敬的投资者您好，感谢您的提问。2025 年公司将优化产能整合，提升运营效率，控制原料采购成本；改善产品结构；以优化成本结构、提升毛利率。感谢您对公司的支持与关注！</w:t>
            </w:r>
          </w:p>
          <w:p w:rsidR="002721F9" w:rsidRPr="002721F9" w:rsidRDefault="00E36F5A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147801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、如何看待今年苹果和浓缩苹果汁的价格情况？公司浓缩苹果</w:t>
            </w:r>
            <w:proofErr w:type="gramStart"/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汁如何</w:t>
            </w:r>
            <w:proofErr w:type="gramEnd"/>
            <w:r w:rsidR="002721F9" w:rsidRPr="002721F9">
              <w:rPr>
                <w:rFonts w:ascii="宋体" w:hAnsi="宋体" w:hint="eastAsia"/>
                <w:b/>
                <w:sz w:val="24"/>
                <w:szCs w:val="24"/>
              </w:rPr>
              <w:t>定价？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尊敬的投资者您好，感谢您的提问！今年部分苹果产区因天气因素出现局部减产，但全国总产量预计稳定，公司预计今年榨季原料果收购价会有所下降。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浓缩苹果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汁价格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受全球供需影响，中国作为主产国，对出口价格具有一定话语权。公司浓缩苹果汁定价参照国际市场价格，结合成本及客户协议，与众多知名食品饮料企业建立长期合作，长期订单按年度框架协商，短期订单根据市场动态调整，以市场供需为核心定价。感谢您对公司的支持与关注！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147801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、请问今年预计产能</w:t>
            </w:r>
            <w:proofErr w:type="gramStart"/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能</w:t>
            </w:r>
            <w:proofErr w:type="gramEnd"/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达到多少？有没有生成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TO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C产品的打算？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尊敬的投资者您好，感谢您的提问！公司预计产能整体呈现增长趋势，公司目前没有生产TOC产品。感谢您对公司的支持与关注！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2721F9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1</w:t>
            </w:r>
            <w:r w:rsidR="00147801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、今年气候如何影响苹果价格？如何影响浓缩苹果汁价格？公司定价机制是怎样的？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尊敬的投资者您好，感谢您的提问！中国是全球浓缩果汁主要生产及出口国，今年部分苹果产区因天气因素面临减产，但全国苹果总产量预计变化不大。预计进入榨季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后原料果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收购价可能下降。产品价格由各浓缩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果汁厂依市场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情况确定，整体供需基本面未显著变化，行业发展相对稳定。感谢您对公司的支持与关注！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147801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、目前浓缩果汁的全球市场空间，公司的市场份额？</w:t>
            </w:r>
          </w:p>
          <w:p w:rsid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全球果汁饮料主要是浓缩橙汁和浓缩苹果汁，这两个是浓缩果汁中最大的品类。浓缩苹果汁市场规模在140万吨左右，2024年中国出口约53万吨，安德利占中国出口比例约为15%。全球浓缩果汁生产高度集中于苹果主产区，中国是核心的供给方，2023/24市场年度，中国苹果产量达4,500万吨，占全球54%，依托原料优势成为世界最大浓缩苹果汁生产国，欧洲、南美等地区虽有一定产量，但规模远不及中国，中国在全球浓缩果汁供应链中占据主导地位。中国浓缩果汁竞争格局，近几年因多种因素经历显著分化，从“四大家”转向“两强主导”。感谢您对公司的支持与关注！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147801"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、目前公司的客户结构，以及新增产能扩张后有哪些新增客户，后续产能扩张计划？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公司客户均为国内外知名饮料企业。2024年新增产能扩张后也是供应给国内外的知名饮料企业；公司在2024年加大了对脱色脱酸浓缩果汁、NFC果汁生产线的投入，同时开发浓缩橙汁、桃汁、山楂汁、番茄汁、柠檬汁等小品种果汁。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同时，浓缩果汁行业传统的“四大家”中有两家企业因经营困难、破产重整等问题产能大幅下降，浓缩果汁的产能缺口难以被中小企业填补，市场呈现供给趋紧的趋势。面对该趋势，公司2023年收购阿克</w:t>
            </w:r>
            <w:r w:rsidRPr="002721F9">
              <w:rPr>
                <w:rFonts w:ascii="宋体" w:hAnsi="宋体" w:hint="eastAsia"/>
                <w:sz w:val="24"/>
                <w:szCs w:val="24"/>
              </w:rPr>
              <w:lastRenderedPageBreak/>
              <w:t>苏恒通果汁资产、2024年收购延安富县恒兴果汁资产，目前已在山东、陕西、辽宁等7省设立10个工厂，未来公司将通过并购持续扩大市场份额，在未来的行业洗牌中有望进一步扩大领先优势。感谢您对公司的支持与关注！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147801"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、公司2024年底的库存量比较高，这个是正常的储备，还是战略性的储备？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公司产成品以浓缩苹果汁为主。造成2024年底存货金额高的主要原因是公司为2025年度销量扩张提前准备，公司收购阿克苏、富县工厂扩大了生产规模，2024年度产量较上年度有所增长，所以2024年底库存量高于2023年同期。这是正常的储备，也是2025年销售收入增长的基础。感谢您对公司的支持与关注！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147801"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、海升、恒通等竞争对手，目前的情况？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尊敬的投资者您好，感谢您的提问。海升、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恒通曾是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国内浓缩苹果</w:t>
            </w:r>
            <w:proofErr w:type="gramStart"/>
            <w:r w:rsidRPr="002721F9">
              <w:rPr>
                <w:rFonts w:ascii="宋体" w:hAnsi="宋体" w:hint="eastAsia"/>
                <w:sz w:val="24"/>
                <w:szCs w:val="24"/>
              </w:rPr>
              <w:t>汁行业</w:t>
            </w:r>
            <w:proofErr w:type="gramEnd"/>
            <w:r w:rsidRPr="002721F9">
              <w:rPr>
                <w:rFonts w:ascii="宋体" w:hAnsi="宋体" w:hint="eastAsia"/>
                <w:sz w:val="24"/>
                <w:szCs w:val="24"/>
              </w:rPr>
              <w:t>“四大家”成员，近年来遇到经营困难，涉及较多诉讼案件，产能及产量下降明显。这使得国内浓缩苹果汁市场格局从“四大家”转变为“两大家”（安德利与国投中鲁主导），中小企业难以完全填补下游客户需求，市场呈现供给趋紧趋势。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公司通过在2023年收购阿克苏恒通果汁资产、2024年收购延安富县恒兴果汁资产，目前已在山东、陕西、辽宁等7省设立10个工厂，未来公司通过并购持续扩大市场份额，在未来的行业洗牌中有望进一步扩大领先优势。感谢您对公司的支持与关注！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147801"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 w:rsidRPr="002721F9">
              <w:rPr>
                <w:rFonts w:ascii="宋体" w:hAnsi="宋体" w:hint="eastAsia"/>
                <w:b/>
                <w:sz w:val="24"/>
                <w:szCs w:val="24"/>
              </w:rPr>
              <w:t>、公司在2024年进行了H股回购，并在2025年注销了回购的780万H股，这一举措对公司的股权结构和财务状况产生了哪些影响？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t>尊敬的投资者您好，感谢您的提问。H股回购及注销使公司总股本减少，在公司业绩稳定增长的情况下，每股收益持续会提高，从而增加对投资者的回报。</w:t>
            </w:r>
          </w:p>
          <w:p w:rsidR="002721F9" w:rsidRPr="002721F9" w:rsidRDefault="002721F9" w:rsidP="002721F9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2721F9">
              <w:rPr>
                <w:rFonts w:ascii="宋体" w:hAnsi="宋体" w:hint="eastAsia"/>
                <w:sz w:val="24"/>
                <w:szCs w:val="24"/>
              </w:rPr>
              <w:lastRenderedPageBreak/>
              <w:t>例如归属于上市公司股东的净利润由2024年一季度的5,335.67万元提升到2025年一季度的8,606.82万元，净利润增长了61.31%，但每股收益却增长了66.67%。感谢您对公司的支持与关注！</w:t>
            </w:r>
          </w:p>
          <w:p w:rsidR="00D0216E" w:rsidRPr="002721F9" w:rsidRDefault="00D0216E" w:rsidP="00C85E58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0DDE" w:rsidRPr="00000DD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DE" w:rsidRPr="00000DDE" w:rsidRDefault="00000DDE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附件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DE" w:rsidRPr="00000DDE" w:rsidRDefault="00000DDE" w:rsidP="00000DDE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:rsidR="00D0216E" w:rsidRPr="00000DD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000DDE" w:rsidRDefault="00D0216E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000DD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6E" w:rsidRPr="00000DDE" w:rsidRDefault="00D0216E" w:rsidP="00000DDE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000DDE">
              <w:rPr>
                <w:rFonts w:ascii="宋体" w:hAnsi="宋体"/>
                <w:bCs/>
                <w:iCs/>
                <w:color w:val="000000"/>
                <w:sz w:val="24"/>
              </w:rPr>
              <w:t>2025-05-</w:t>
            </w:r>
            <w:r w:rsidR="00000DDE">
              <w:rPr>
                <w:rFonts w:ascii="宋体" w:hAnsi="宋体" w:hint="eastAsia"/>
                <w:bCs/>
                <w:iCs/>
                <w:color w:val="000000"/>
                <w:sz w:val="24"/>
              </w:rPr>
              <w:t>23</w:t>
            </w:r>
          </w:p>
        </w:tc>
      </w:tr>
    </w:tbl>
    <w:p w:rsidR="00D0216E" w:rsidRDefault="00D0216E" w:rsidP="00D0216E"/>
    <w:p w:rsidR="0042532C" w:rsidRDefault="0042532C"/>
    <w:sectPr w:rsidR="0042532C" w:rsidSect="00D0216E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C0" w:rsidRDefault="00A374C0" w:rsidP="00D0216E">
      <w:r>
        <w:separator/>
      </w:r>
    </w:p>
  </w:endnote>
  <w:endnote w:type="continuationSeparator" w:id="0">
    <w:p w:rsidR="00A374C0" w:rsidRDefault="00A374C0" w:rsidP="00D0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541656"/>
      <w:docPartObj>
        <w:docPartGallery w:val="Page Numbers (Bottom of Page)"/>
        <w:docPartUnique/>
      </w:docPartObj>
    </w:sdtPr>
    <w:sdtEndPr/>
    <w:sdtContent>
      <w:p w:rsidR="00D0216E" w:rsidRDefault="00D021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E58" w:rsidRPr="00C85E58">
          <w:rPr>
            <w:noProof/>
            <w:lang w:val="zh-CN"/>
          </w:rPr>
          <w:t>7</w:t>
        </w:r>
        <w:r>
          <w:fldChar w:fldCharType="end"/>
        </w:r>
      </w:p>
    </w:sdtContent>
  </w:sdt>
  <w:p w:rsidR="00D0216E" w:rsidRDefault="00D021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C0" w:rsidRDefault="00A374C0" w:rsidP="00D0216E">
      <w:r>
        <w:separator/>
      </w:r>
    </w:p>
  </w:footnote>
  <w:footnote w:type="continuationSeparator" w:id="0">
    <w:p w:rsidR="00A374C0" w:rsidRDefault="00A374C0" w:rsidP="00D02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DC" w:rsidRDefault="00A374C0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65B78"/>
    <w:multiLevelType w:val="hybridMultilevel"/>
    <w:tmpl w:val="5E08D254"/>
    <w:lvl w:ilvl="0" w:tplc="8CA290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6E"/>
    <w:rsid w:val="00000DDE"/>
    <w:rsid w:val="000037AB"/>
    <w:rsid w:val="00006C4A"/>
    <w:rsid w:val="0003349E"/>
    <w:rsid w:val="000368F9"/>
    <w:rsid w:val="00051932"/>
    <w:rsid w:val="00081724"/>
    <w:rsid w:val="00085206"/>
    <w:rsid w:val="00096C22"/>
    <w:rsid w:val="000D3948"/>
    <w:rsid w:val="000D5325"/>
    <w:rsid w:val="000D726B"/>
    <w:rsid w:val="000E2BC5"/>
    <w:rsid w:val="000E31BC"/>
    <w:rsid w:val="000F7D3D"/>
    <w:rsid w:val="000F7DB5"/>
    <w:rsid w:val="00132D55"/>
    <w:rsid w:val="001453D5"/>
    <w:rsid w:val="00147801"/>
    <w:rsid w:val="00155C8E"/>
    <w:rsid w:val="00157A2B"/>
    <w:rsid w:val="00160ACC"/>
    <w:rsid w:val="00180CA7"/>
    <w:rsid w:val="001B598B"/>
    <w:rsid w:val="001C0139"/>
    <w:rsid w:val="001C40D9"/>
    <w:rsid w:val="001C4E1A"/>
    <w:rsid w:val="001D0EE6"/>
    <w:rsid w:val="001D2EFD"/>
    <w:rsid w:val="0022211D"/>
    <w:rsid w:val="00231294"/>
    <w:rsid w:val="002342C5"/>
    <w:rsid w:val="00250E07"/>
    <w:rsid w:val="00262D2A"/>
    <w:rsid w:val="002721F9"/>
    <w:rsid w:val="0027762B"/>
    <w:rsid w:val="002A0DE6"/>
    <w:rsid w:val="002B1C5D"/>
    <w:rsid w:val="002B7049"/>
    <w:rsid w:val="002C56F7"/>
    <w:rsid w:val="002C6CFE"/>
    <w:rsid w:val="002F5415"/>
    <w:rsid w:val="00302113"/>
    <w:rsid w:val="00304E25"/>
    <w:rsid w:val="00310595"/>
    <w:rsid w:val="00330B75"/>
    <w:rsid w:val="003355C6"/>
    <w:rsid w:val="00336C2E"/>
    <w:rsid w:val="00344F7A"/>
    <w:rsid w:val="00371BF2"/>
    <w:rsid w:val="0039580E"/>
    <w:rsid w:val="003A2DEF"/>
    <w:rsid w:val="003A38C2"/>
    <w:rsid w:val="003B27F2"/>
    <w:rsid w:val="003C3DCC"/>
    <w:rsid w:val="003D4300"/>
    <w:rsid w:val="003E5FAA"/>
    <w:rsid w:val="003F337F"/>
    <w:rsid w:val="003F7B1E"/>
    <w:rsid w:val="00401E82"/>
    <w:rsid w:val="00416A0C"/>
    <w:rsid w:val="0042532C"/>
    <w:rsid w:val="00425907"/>
    <w:rsid w:val="00467D15"/>
    <w:rsid w:val="0048486C"/>
    <w:rsid w:val="00486346"/>
    <w:rsid w:val="004C32EE"/>
    <w:rsid w:val="004D1029"/>
    <w:rsid w:val="004D7BF4"/>
    <w:rsid w:val="004E09A6"/>
    <w:rsid w:val="004E4771"/>
    <w:rsid w:val="004E6CBB"/>
    <w:rsid w:val="004E7B1C"/>
    <w:rsid w:val="005123A6"/>
    <w:rsid w:val="005143BA"/>
    <w:rsid w:val="00531A8A"/>
    <w:rsid w:val="0053305A"/>
    <w:rsid w:val="00534D07"/>
    <w:rsid w:val="00555A7F"/>
    <w:rsid w:val="0056410B"/>
    <w:rsid w:val="00564667"/>
    <w:rsid w:val="00565914"/>
    <w:rsid w:val="00566297"/>
    <w:rsid w:val="00566379"/>
    <w:rsid w:val="00577E18"/>
    <w:rsid w:val="00597B3E"/>
    <w:rsid w:val="00597DB9"/>
    <w:rsid w:val="005A14F9"/>
    <w:rsid w:val="005A5807"/>
    <w:rsid w:val="005B2414"/>
    <w:rsid w:val="005D223C"/>
    <w:rsid w:val="005D230E"/>
    <w:rsid w:val="005D7AFD"/>
    <w:rsid w:val="005F5D6D"/>
    <w:rsid w:val="006074C0"/>
    <w:rsid w:val="00611E7F"/>
    <w:rsid w:val="006417E9"/>
    <w:rsid w:val="006845A4"/>
    <w:rsid w:val="006A2F08"/>
    <w:rsid w:val="006B2000"/>
    <w:rsid w:val="006C5A9E"/>
    <w:rsid w:val="006F0B5F"/>
    <w:rsid w:val="006F4FBD"/>
    <w:rsid w:val="006F759E"/>
    <w:rsid w:val="007054F3"/>
    <w:rsid w:val="00713693"/>
    <w:rsid w:val="00730DB8"/>
    <w:rsid w:val="00730DFA"/>
    <w:rsid w:val="00745175"/>
    <w:rsid w:val="0075557E"/>
    <w:rsid w:val="007674B1"/>
    <w:rsid w:val="00777FE9"/>
    <w:rsid w:val="00782E6D"/>
    <w:rsid w:val="00785EE6"/>
    <w:rsid w:val="00791E65"/>
    <w:rsid w:val="0079300A"/>
    <w:rsid w:val="007940B8"/>
    <w:rsid w:val="007A51D5"/>
    <w:rsid w:val="007B1BFF"/>
    <w:rsid w:val="007B78B3"/>
    <w:rsid w:val="007C715E"/>
    <w:rsid w:val="007D7549"/>
    <w:rsid w:val="007E7A4B"/>
    <w:rsid w:val="007F00A4"/>
    <w:rsid w:val="0081231D"/>
    <w:rsid w:val="008218FF"/>
    <w:rsid w:val="00831F76"/>
    <w:rsid w:val="00832EB6"/>
    <w:rsid w:val="008402ED"/>
    <w:rsid w:val="0084218F"/>
    <w:rsid w:val="00872EE7"/>
    <w:rsid w:val="00893487"/>
    <w:rsid w:val="008A0D0F"/>
    <w:rsid w:val="008B133C"/>
    <w:rsid w:val="008D31CF"/>
    <w:rsid w:val="008F2651"/>
    <w:rsid w:val="008F714B"/>
    <w:rsid w:val="00905A3A"/>
    <w:rsid w:val="009379CB"/>
    <w:rsid w:val="00943B0F"/>
    <w:rsid w:val="009574C6"/>
    <w:rsid w:val="00966332"/>
    <w:rsid w:val="0097386C"/>
    <w:rsid w:val="009972EF"/>
    <w:rsid w:val="00997598"/>
    <w:rsid w:val="009E051D"/>
    <w:rsid w:val="00A00CE3"/>
    <w:rsid w:val="00A04A6B"/>
    <w:rsid w:val="00A055C3"/>
    <w:rsid w:val="00A13C73"/>
    <w:rsid w:val="00A374C0"/>
    <w:rsid w:val="00A41109"/>
    <w:rsid w:val="00A64B0C"/>
    <w:rsid w:val="00A72789"/>
    <w:rsid w:val="00A72790"/>
    <w:rsid w:val="00A837B9"/>
    <w:rsid w:val="00A90221"/>
    <w:rsid w:val="00AA5D61"/>
    <w:rsid w:val="00AA7CD0"/>
    <w:rsid w:val="00AB3149"/>
    <w:rsid w:val="00AC44C9"/>
    <w:rsid w:val="00AC5B19"/>
    <w:rsid w:val="00AE119B"/>
    <w:rsid w:val="00B12711"/>
    <w:rsid w:val="00B25D39"/>
    <w:rsid w:val="00B41439"/>
    <w:rsid w:val="00B434B0"/>
    <w:rsid w:val="00B526C2"/>
    <w:rsid w:val="00B60FA7"/>
    <w:rsid w:val="00B71EEB"/>
    <w:rsid w:val="00B72CC6"/>
    <w:rsid w:val="00B7583D"/>
    <w:rsid w:val="00BA6F36"/>
    <w:rsid w:val="00BB13A5"/>
    <w:rsid w:val="00BB199A"/>
    <w:rsid w:val="00BB1AAA"/>
    <w:rsid w:val="00BE66EB"/>
    <w:rsid w:val="00BF5681"/>
    <w:rsid w:val="00C00C5B"/>
    <w:rsid w:val="00C07C52"/>
    <w:rsid w:val="00C43935"/>
    <w:rsid w:val="00C662FF"/>
    <w:rsid w:val="00C85E58"/>
    <w:rsid w:val="00C9467F"/>
    <w:rsid w:val="00CA0B40"/>
    <w:rsid w:val="00CA5E72"/>
    <w:rsid w:val="00CB34A0"/>
    <w:rsid w:val="00CD42F5"/>
    <w:rsid w:val="00D0216E"/>
    <w:rsid w:val="00D761FF"/>
    <w:rsid w:val="00D77EFE"/>
    <w:rsid w:val="00D852F5"/>
    <w:rsid w:val="00D95B20"/>
    <w:rsid w:val="00DB6CD2"/>
    <w:rsid w:val="00DC1FCF"/>
    <w:rsid w:val="00DC617B"/>
    <w:rsid w:val="00DD2B0B"/>
    <w:rsid w:val="00DE19BA"/>
    <w:rsid w:val="00DF6B92"/>
    <w:rsid w:val="00E24BCC"/>
    <w:rsid w:val="00E3120B"/>
    <w:rsid w:val="00E33A48"/>
    <w:rsid w:val="00E36F5A"/>
    <w:rsid w:val="00E4517E"/>
    <w:rsid w:val="00E5135F"/>
    <w:rsid w:val="00E52C26"/>
    <w:rsid w:val="00E64E02"/>
    <w:rsid w:val="00E97F1C"/>
    <w:rsid w:val="00EA4E7D"/>
    <w:rsid w:val="00EB025A"/>
    <w:rsid w:val="00EB5195"/>
    <w:rsid w:val="00EC1B32"/>
    <w:rsid w:val="00ED051F"/>
    <w:rsid w:val="00ED7D02"/>
    <w:rsid w:val="00F31293"/>
    <w:rsid w:val="00F4344D"/>
    <w:rsid w:val="00F5752E"/>
    <w:rsid w:val="00F6150B"/>
    <w:rsid w:val="00F61C6F"/>
    <w:rsid w:val="00F64760"/>
    <w:rsid w:val="00F74D01"/>
    <w:rsid w:val="00F82D6F"/>
    <w:rsid w:val="00F83D5F"/>
    <w:rsid w:val="00F8474D"/>
    <w:rsid w:val="00FA4400"/>
    <w:rsid w:val="00FA7179"/>
    <w:rsid w:val="00FB65B0"/>
    <w:rsid w:val="00FB6EF3"/>
    <w:rsid w:val="00FC0954"/>
    <w:rsid w:val="00FC262C"/>
    <w:rsid w:val="00FD08DE"/>
    <w:rsid w:val="00FD2E8E"/>
    <w:rsid w:val="00FD4428"/>
    <w:rsid w:val="00FD6E74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2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216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D0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0216E"/>
    <w:rPr>
      <w:rFonts w:ascii="Times New Roman" w:eastAsia="宋体" w:hAnsi="Times New Roman" w:cs="Times New Roman"/>
      <w:sz w:val="18"/>
      <w:szCs w:val="18"/>
    </w:rPr>
  </w:style>
  <w:style w:type="paragraph" w:customStyle="1" w:styleId="Style6">
    <w:name w:val="_Style 6"/>
    <w:basedOn w:val="a"/>
    <w:uiPriority w:val="34"/>
    <w:qFormat/>
    <w:rsid w:val="00D0216E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D02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16E"/>
    <w:rPr>
      <w:rFonts w:ascii="Times New Roman" w:eastAsia="宋体" w:hAnsi="Times New Roman" w:cs="Times New Roman"/>
      <w:sz w:val="18"/>
      <w:szCs w:val="18"/>
    </w:rPr>
  </w:style>
  <w:style w:type="character" w:customStyle="1" w:styleId="highlight">
    <w:name w:val="highlight"/>
    <w:basedOn w:val="a0"/>
    <w:rsid w:val="00B7583D"/>
  </w:style>
  <w:style w:type="paragraph" w:styleId="a6">
    <w:name w:val="List Paragraph"/>
    <w:basedOn w:val="a"/>
    <w:uiPriority w:val="34"/>
    <w:qFormat/>
    <w:rsid w:val="00531A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2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216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D0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0216E"/>
    <w:rPr>
      <w:rFonts w:ascii="Times New Roman" w:eastAsia="宋体" w:hAnsi="Times New Roman" w:cs="Times New Roman"/>
      <w:sz w:val="18"/>
      <w:szCs w:val="18"/>
    </w:rPr>
  </w:style>
  <w:style w:type="paragraph" w:customStyle="1" w:styleId="Style6">
    <w:name w:val="_Style 6"/>
    <w:basedOn w:val="a"/>
    <w:uiPriority w:val="34"/>
    <w:qFormat/>
    <w:rsid w:val="00D0216E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D02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16E"/>
    <w:rPr>
      <w:rFonts w:ascii="Times New Roman" w:eastAsia="宋体" w:hAnsi="Times New Roman" w:cs="Times New Roman"/>
      <w:sz w:val="18"/>
      <w:szCs w:val="18"/>
    </w:rPr>
  </w:style>
  <w:style w:type="character" w:customStyle="1" w:styleId="highlight">
    <w:name w:val="highlight"/>
    <w:basedOn w:val="a0"/>
    <w:rsid w:val="00B7583D"/>
  </w:style>
  <w:style w:type="paragraph" w:styleId="a6">
    <w:name w:val="List Paragraph"/>
    <w:basedOn w:val="a"/>
    <w:uiPriority w:val="34"/>
    <w:qFormat/>
    <w:rsid w:val="00531A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王宁</dc:creator>
  <cp:lastModifiedBy>王宁</cp:lastModifiedBy>
  <cp:revision>3</cp:revision>
  <cp:lastPrinted>2025-05-23T07:32:00Z</cp:lastPrinted>
  <dcterms:created xsi:type="dcterms:W3CDTF">2025-05-23T08:46:00Z</dcterms:created>
  <dcterms:modified xsi:type="dcterms:W3CDTF">2025-05-23T08:48:00Z</dcterms:modified>
</cp:coreProperties>
</file>