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626E">
      <w:pPr>
        <w:spacing w:before="156" w:beforeLines="50" w:after="156" w:afterLines="50" w:line="400" w:lineRule="exact"/>
        <w:rPr>
          <w:rFonts w:hint="default" w:eastAsia="宋体"/>
          <w:bCs/>
          <w:iCs/>
          <w:color w:val="000000"/>
          <w:sz w:val="24"/>
          <w:lang w:val="en-US" w:eastAsia="zh-CN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601005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 xml:space="preserve">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重庆钢铁</w:t>
      </w:r>
    </w:p>
    <w:p w14:paraId="61C7DAE8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14:paraId="0D8E85E4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重庆钢铁股份有限公司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770E42B5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>表格编号：2025-002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14"/>
      </w:tblGrid>
      <w:tr w14:paraId="30DA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CA2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13E1302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D7B0">
            <w:pPr>
              <w:spacing w:line="50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73E8DE92">
            <w:pPr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5CF94331">
            <w:pPr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7F7FB8D6">
            <w:pPr>
              <w:tabs>
                <w:tab w:val="left" w:pos="3045"/>
                <w:tab w:val="center" w:pos="3199"/>
              </w:tabs>
              <w:spacing w:line="50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交流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0479DBF6">
            <w:pPr>
              <w:widowControl/>
              <w:spacing w:line="500" w:lineRule="exact"/>
              <w:jc w:val="left"/>
              <w:rPr>
                <w:rFonts w:hint="eastAsia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14:paraId="7862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053E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E42CE">
            <w:pPr>
              <w:spacing w:line="420" w:lineRule="exact"/>
              <w:rPr>
                <w:rFonts w:hint="eastAsia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长寿区人民政府、长寿经开区管委会、</w:t>
            </w:r>
            <w:r>
              <w:rPr>
                <w:rFonts w:hint="eastAsia"/>
                <w:bCs/>
                <w:iCs/>
                <w:color w:val="auto"/>
                <w:sz w:val="24"/>
              </w:rPr>
              <w:t>重庆上市公司协会</w:t>
            </w:r>
            <w:r>
              <w:rPr>
                <w:rFonts w:hint="eastAsia"/>
                <w:bCs/>
                <w:iCs/>
                <w:color w:val="auto"/>
                <w:sz w:val="24"/>
                <w:lang w:eastAsia="zh-CN"/>
              </w:rPr>
              <w:t>、华宝投资、国投证券、长江证券、国信证券、国泰海通、光大证券、华泰证券、易方达基金、中信保诚基金、香港中央证券、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中国银行、中国农业银行、中国工商银行、中国建设银行、</w:t>
            </w:r>
            <w:r>
              <w:rPr>
                <w:rFonts w:hint="eastAsia"/>
                <w:bCs/>
                <w:iCs/>
                <w:color w:val="auto"/>
                <w:sz w:val="24"/>
                <w:lang w:eastAsia="zh-CN"/>
              </w:rPr>
              <w:t>中国进出口银行、浙商银行、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中国交通银行、中国民生银行、中信银行、招商银行、平安银行、光大银行、浦发银行</w:t>
            </w:r>
            <w:r>
              <w:rPr>
                <w:rFonts w:hint="eastAsia"/>
                <w:bCs/>
                <w:iCs/>
                <w:color w:val="auto"/>
                <w:sz w:val="24"/>
                <w:lang w:eastAsia="zh-CN"/>
              </w:rPr>
              <w:t>、华泰财保、上海证券报、上游新闻、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每日经济新闻、</w:t>
            </w:r>
            <w:r>
              <w:rPr>
                <w:rFonts w:hint="eastAsia"/>
                <w:bCs/>
                <w:iCs/>
                <w:color w:val="auto"/>
                <w:sz w:val="24"/>
                <w:lang w:eastAsia="zh-CN"/>
              </w:rPr>
              <w:t>长寿区融媒体中心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等</w:t>
            </w:r>
            <w:r>
              <w:rPr>
                <w:rFonts w:hint="eastAsia"/>
                <w:bCs/>
                <w:iCs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排名不分先后</w:t>
            </w:r>
            <w:r>
              <w:rPr>
                <w:rFonts w:hint="eastAsia"/>
                <w:bCs/>
                <w:iCs/>
                <w:color w:val="auto"/>
                <w:sz w:val="24"/>
                <w:lang w:eastAsia="zh-CN"/>
              </w:rPr>
              <w:t>）</w:t>
            </w:r>
          </w:p>
        </w:tc>
      </w:tr>
      <w:tr w14:paraId="316E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5FF1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3533">
            <w:pPr>
              <w:spacing w:line="420" w:lineRule="exact"/>
              <w:rPr>
                <w:rFonts w:hint="default"/>
                <w:bCs/>
                <w:iCs/>
                <w:color w:val="000000"/>
                <w:sz w:val="24"/>
                <w:lang w:val="en-US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23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（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）</w:t>
            </w:r>
            <w:r>
              <w:rPr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17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15</w:t>
            </w:r>
          </w:p>
        </w:tc>
      </w:tr>
      <w:tr w14:paraId="188B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E29F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5CC7"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重庆钢铁股份有限公司</w:t>
            </w:r>
          </w:p>
          <w:p w14:paraId="58D0C0B1">
            <w:pPr>
              <w:spacing w:line="420" w:lineRule="exac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重庆长寿温德姆酒店</w:t>
            </w:r>
          </w:p>
        </w:tc>
      </w:tr>
      <w:tr w14:paraId="184C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232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DA8A"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董事</w:t>
            </w:r>
            <w:r>
              <w:rPr>
                <w:rFonts w:hint="eastAsia" w:ascii="宋体" w:hAnsi="宋体"/>
                <w:bCs/>
                <w:sz w:val="24"/>
              </w:rPr>
              <w:t>长：王虎祥</w:t>
            </w:r>
          </w:p>
          <w:p w14:paraId="0C967D57">
            <w:pPr>
              <w:spacing w:line="42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总  裁：孟文旺</w:t>
            </w:r>
          </w:p>
          <w:p w14:paraId="731E5984"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董事</w:t>
            </w:r>
            <w:r>
              <w:rPr>
                <w:rFonts w:ascii="宋体" w:hAnsi="宋体"/>
                <w:bCs/>
                <w:sz w:val="24"/>
              </w:rPr>
              <w:t>会秘书、财务负责人</w:t>
            </w:r>
            <w:r>
              <w:rPr>
                <w:rFonts w:hint="eastAsia" w:ascii="宋体" w:hAnsi="宋体"/>
                <w:bCs/>
                <w:sz w:val="24"/>
              </w:rPr>
              <w:t>：匡云龙</w:t>
            </w:r>
          </w:p>
          <w:p w14:paraId="77182850">
            <w:pPr>
              <w:spacing w:line="42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独立董事：盛学军</w:t>
            </w:r>
          </w:p>
          <w:p w14:paraId="36D92701">
            <w:pPr>
              <w:spacing w:line="42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高级副总裁：谢  超、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赵仕清</w:t>
            </w:r>
          </w:p>
        </w:tc>
      </w:tr>
      <w:tr w14:paraId="4163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7D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E1064B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178AF">
            <w:pPr>
              <w:widowControl/>
              <w:spacing w:line="500" w:lineRule="exact"/>
              <w:ind w:firstLine="482" w:firstLineChars="200"/>
              <w:jc w:val="both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一、参观工厂</w:t>
            </w:r>
          </w:p>
          <w:p w14:paraId="72996484">
            <w:pPr>
              <w:widowControl/>
              <w:spacing w:line="500" w:lineRule="exact"/>
              <w:ind w:firstLine="482" w:firstLineChars="200"/>
              <w:jc w:val="both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二、公司发布</w:t>
            </w:r>
          </w:p>
          <w:p w14:paraId="7C6DE231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董事长王虎祥致辞。</w:t>
            </w:r>
          </w:p>
          <w:p w14:paraId="6958D409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董事会秘书匡云龙介绍公司2024年度及2025年一季度经营业绩。</w:t>
            </w:r>
          </w:p>
          <w:p w14:paraId="350EDA82">
            <w:pPr>
              <w:widowControl/>
              <w:spacing w:line="500" w:lineRule="exact"/>
              <w:ind w:firstLine="482" w:firstLineChars="200"/>
              <w:jc w:val="both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总裁孟文旺介绍公司改革成效。</w:t>
            </w:r>
          </w:p>
          <w:p w14:paraId="12213FCD">
            <w:pPr>
              <w:widowControl/>
              <w:spacing w:line="500" w:lineRule="exact"/>
              <w:ind w:firstLine="482" w:firstLineChars="200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三、现场交流</w:t>
            </w:r>
          </w:p>
          <w:p w14:paraId="5A939FD6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公司提到预计今年钢产量会下降3.5%，是基于政策、还是自主判断？</w:t>
            </w:r>
          </w:p>
          <w:p w14:paraId="6822C271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发布材料里提到的数据来源于行业分析，目前从公司得到的相关行业信息来看，今年产量下降主要来源于政府方面要求；未来基于绿色化、环保及市场情况等因素，产量可能会有所变化。</w:t>
            </w:r>
          </w:p>
          <w:p w14:paraId="45C809B4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结合钢铁行业当前的形势，管理层对公司二季度业绩有什么展望？</w:t>
            </w:r>
          </w:p>
          <w:p w14:paraId="136705FA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围绕聚焦主责主业、提升劳动效率、全面深化改革、算账经营、市场拓展、产业园建设等一些改革举措推动高质量发展，结合钢铁行业截至目前的情况，预计公司2季度经营业绩处于平稳态势，管理层也有信心。</w:t>
            </w:r>
          </w:p>
          <w:p w14:paraId="3687B367">
            <w:pPr>
              <w:widowControl/>
              <w:spacing w:line="500" w:lineRule="exact"/>
              <w:ind w:firstLine="482" w:firstLineChars="200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连续3年未现金分红，若2025年扭亏，是优先恢复资产负债表还是分红？</w:t>
            </w:r>
          </w:p>
          <w:p w14:paraId="59647F39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2024年资产负债率在53%左右，属于比较健康的水平，在行业处于偏上的位置。公司始终把可持续经营、发展作为最主要任务，所以只要在盈利能力提升、满足资产负债安全的前提下，也会做一些分红策划。目前累计未分配利润为负数且数据较大，单靠一年的盈利无法覆盖；因此，公司一方面努力提升经营业绩，缩小差距达到分红的条件，同时也会积极运用上市公司分红的相关政策，为未来分红创造条件，为投资者创造价值。</w:t>
            </w:r>
          </w:p>
          <w:p w14:paraId="64054ECC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4、公司股价长期徘徊在1元左右，在市值管理方面有无进一步举措？</w:t>
            </w:r>
          </w:p>
          <w:p w14:paraId="1AEE9D46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股价长期破净非个例，很多钢铁行业上市公司也处于这个状态，也反映出资本市场对钢铁行业的态度；结合当前宏观经济走势以及公司经营业绩情况，市值管理面临压力；近期证监会重庆监管局、上海证券交易所对公司的股价也十分关注、关心，我们也给予了积极回应。</w:t>
            </w:r>
          </w:p>
          <w:p w14:paraId="7D234CF1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就市值管理举措而言，公司首先立足于做好经营改善和能力提升，这是维持股价稳定以及长远市值提升最根本的举措。其次，从去年起实施回购和增持，回购的股份已于今年2月注销，华宝投资增持计划仍在有效期内，能起到一定的积极作用。同时公司也会做好投资者沟通，正如今天的业绩交流会，也是向投资者及时、透明地展示公司正面信息，增进投资者对公司的了解。最后，公司也会一如既往按照监管要求开展信息披露，合规合法披露真实、准确的信息，让经营结果的改善经得起时间检验，助力股价提升。</w:t>
            </w:r>
          </w:p>
          <w:p w14:paraId="1EA1B1EE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5、在新的《独立董事管理办法》出台，以及最新推行的审计委员会替代监事会职能规定背景下，作为独立董事如何履职，为重庆钢铁的发展贡献力量？</w:t>
            </w:r>
          </w:p>
          <w:p w14:paraId="1DCBEB1C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监事会的职责调整到审计委员会，最核心的变化是提前在决策环节同步实施监督，这是现代公司治理中提升效率，同时发挥审计委员会专业监督职能的过程，也是制度创新和尝试。</w:t>
            </w:r>
          </w:p>
          <w:p w14:paraId="66C6A189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督环节以前是事后的考量、回溯，有时间间隔，现在要求在决策环节就同时发挥董事会专门委员会、独立董事、外部审计机构等在决策中的监督作用，效率提升的同时对专业性有很高的要求。首先是规则的学习，独立董事作为兼职，面对公司管理，不论是财务知识，还是内部控制、风险的把控，尤其是如何平衡公司各层面的利益，包括对战略的把握以及稳健经营的平衡，有一定挑战。其次，在当前严监管背景下，怎么发挥新角色作用，需要一个适应的过程，包括知识的迭代、能力的提升、新机制的适应；虽然重庆钢铁暂未实施相关安排，但我们有信心能履行好监管新规要求的职责。</w:t>
            </w:r>
          </w:p>
          <w:p w14:paraId="3E7DC9CD">
            <w:pPr>
              <w:widowControl/>
              <w:spacing w:line="500" w:lineRule="exact"/>
              <w:ind w:firstLine="482" w:firstLineChars="200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公司今年的出口有什么计划，出口产品的毛利率如何？</w:t>
            </w:r>
          </w:p>
          <w:p w14:paraId="1C0BC1EF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年出口目标30万吨，目前出口的产品主要是热轧、厚板和板坯，今年一季度以来受中美关系等影响，目前截至一季度直接出口只有1.46万吨左右，部分出口产品的毛利高于国内平均水平。下一步计划在中南钢铁、宝武集团的指导下，派人长驻新加坡和越南，推进产品出口工作。</w:t>
            </w:r>
          </w:p>
          <w:p w14:paraId="70A326EE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7、2022年以来公司连续亏损3年，亏损额逐年增加，在行业下行大背景下，下游需求改善也有困难，请问公司未来的盈利增长点主要体现在哪些方面，如何实现扭亏？</w:t>
            </w:r>
          </w:p>
          <w:p w14:paraId="4A804822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亏损既有行业下行的背景，也有自身地理位置、资源禀赋等各方面短板的原因。公司通过落实“极致效率、结构调整、近地化、产业链、生态圈、工业园”20字方针，改善经营业绩。</w:t>
            </w:r>
          </w:p>
          <w:p w14:paraId="5D7BED31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产线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结构调整。以前生产厚板、热轧、建材三大类产品，一类产品亏损就会拖累整体业绩，去年由于基建、房地产下行，公司果断决定待产长材产线，重点发展有利润和毛利的热轧、中厚板。</w:t>
            </w:r>
          </w:p>
          <w:p w14:paraId="645E9908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是产品结构的升级。提高品种钢比例虽然有挑战，但这也正是宝武集团擅长的，有了这一资源支持，公司品种结构优化、品种钢比例提升幅度在国内钢铁企业中变化最快，近三年品种钢比例从10%提升到50%左右，并且还在不断上升。</w:t>
            </w:r>
          </w:p>
          <w:p w14:paraId="026C1423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是实施近地化战略。以前进口矿占比和沿海钢厂一样，在2/3以上，受美元价格影响产生汇兑损益；加之公司地处西南，库存周期长，采购进口矿对利润影响较大；同时，受限于重庆地区煤炭厂关停，公司从山西、安徽等地购煤，远距离运输，吨煤运费200元以上，增加成本。现在按照近地化部署，调整进口矿占比25%，未来宝武集团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权益矿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也会增加，能帮助补齐公司的资源短板，有效控制风险。煤炭现在跟川煤合作已有上百万吨，包括贵州的煤炭，符合需求也会积极使用。废钢按照20公里、100公里、200公里布局，有效掌控废钢资源；在旁边的涪陵区有合金战略合作企业。因此，虽然公司资源禀赋较弱，但我们积极按照近地化部署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现在整个资源布局超过50%都是近地化，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而且使用效果非常好，这也体现公司经营管理水平的提升，公司生产效率、稳定性和成本都得到回馈。</w:t>
            </w:r>
          </w:p>
          <w:p w14:paraId="2E1FC32A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虽然公司2024年亏损32.9亿元，但除去计提的固定资产减值后，在行业里同比2022年基本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没有增亏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正是上述变革支撑了重钢业绩的改善，而且是可持续的。并且做了这么多大变革后，我们相信找到适合重庆钢铁发展的战略和举措就会起到实效。当前公司实事求是锚定行业50分位目标，未来，相信在宝武集团的领导下会有进一步发展。</w:t>
            </w:r>
          </w:p>
          <w:p w14:paraId="2388AC98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目前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公司产品高端化进展如何？</w:t>
            </w:r>
          </w:p>
          <w:p w14:paraId="48E6BF3C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产品品种方面：厚板品种钢主要包括桥梁钢、高建钢、耐候钢、风电钢、核电钢、低合金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、容器钢，到今年一季度占比44%左右，较2024年提升约13%；热轧品种钢主要包括汽车钢、电工钢等，占比53%左右，较2024年提升约8%。</w:t>
            </w:r>
          </w:p>
          <w:p w14:paraId="2E87B1BB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产线升级方面：2024年对热轧产线进行改造，今年也会对厚板产线进行改造，助力品种钢开发，今天2700mm中板产线也恢复；计划未来4100mm产线生产品种钢，2700mm产线生产普通钢材；最近公司管理层和制造端也在讨论新建RH炉，也就是精炼，进一步优化品种钢生产条件。</w:t>
            </w:r>
          </w:p>
          <w:p w14:paraId="6F449917">
            <w:pPr>
              <w:widowControl/>
              <w:spacing w:line="500" w:lineRule="exact"/>
              <w:ind w:firstLine="482" w:firstLineChars="200"/>
              <w:jc w:val="both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9、如何看待国家统一大市场建设对行业和公司的影响？</w:t>
            </w:r>
          </w:p>
          <w:p w14:paraId="2A4CAA3B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从目前了解的市场情况来看，需求端虽有下滑趋势，比如建材受基建、房地产影响需求下滑。公司已待产长材产线，在统一大市场下，公司的厚板和热轧需求尚好，比如厚板的工程订单，目前厚板毛利在200元以上才接单，热轧也没有需求偏弱的情况；相比而言，周边一些钢厂存在需求偏弱的情况，厚板价格和公司差距有达到500元以上的情况。因此统一大市场来看，公司总体跟着市场需求调整策略，从容应对，前进方向正确，没有受到大的影响。</w:t>
            </w:r>
          </w:p>
          <w:p w14:paraId="59652669">
            <w:pPr>
              <w:widowControl/>
              <w:spacing w:line="500" w:lineRule="exact"/>
              <w:ind w:firstLine="482" w:firstLineChars="20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10、宝武集团对重庆钢铁有哪些内部资源支撑举措？</w:t>
            </w:r>
          </w:p>
          <w:p w14:paraId="203CA85A">
            <w:pPr>
              <w:widowControl/>
              <w:spacing w:line="500" w:lineRule="exact"/>
              <w:ind w:firstLine="480" w:firstLineChars="200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原料端总体由宝武支援，比如由宝武原料向国外矿山统一采购铁矿石，公司也有自主采购权，根据时下的算账经营情况进行现货采购；其他在人力资源、生产技术等方面宝武集团内部也会进行指导和支撑，比如每个月派人在制造端、产品开发方面进行指导和帮扶。</w:t>
            </w:r>
          </w:p>
          <w:p w14:paraId="2AE0D792">
            <w:pPr>
              <w:widowControl/>
              <w:spacing w:line="500" w:lineRule="exact"/>
              <w:ind w:firstLine="482" w:firstLineChars="200"/>
              <w:jc w:val="both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11、今年1-3月公司部分经营数据有改善，请问之后在产品应用、项目拓展方面有什么计划？</w:t>
            </w:r>
          </w:p>
          <w:p w14:paraId="614D181E">
            <w:pPr>
              <w:widowControl/>
              <w:spacing w:line="5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公司致力于做好终端，提升品种钢比例。品种方面，有桥梁钢、高建钢、耐候钢、风电钢等，减少普通产品生产。终端方面，今年一季度厚板终端比例提升至74%左右，热卷终端比例提升至85%左右；市场占有率也不断提升，厚板今年一季度提升至71%左右，热轧则提升至85%左右。从这几个数据来看，公司逐步提高终端比例，而做终端更需要品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钢支撑。目前公司普通材项目毛利约100-150元，品种钢毛利则在200元以上，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甚至在200-500元之间。因此公司之后也会不断做品种钢开发，宝武中央研究院、中南钢铁的炼铁、炼钢、轧钢专业委员会也将提供支撑。</w:t>
            </w:r>
          </w:p>
          <w:p w14:paraId="7907E663">
            <w:pPr>
              <w:widowControl/>
              <w:adjustRightInd/>
              <w:snapToGrid/>
              <w:spacing w:line="240" w:lineRule="auto"/>
              <w:ind w:firstLine="482" w:firstLineChars="20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本次活动不涉及应披露的重大信息。</w:t>
            </w:r>
          </w:p>
        </w:tc>
      </w:tr>
      <w:tr w14:paraId="3239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AC9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658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14:paraId="3A92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36E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2F29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10923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注：公司严格遵守信息披露相关规则与投资者进行交流，如涉及公司战略规划等意向性目标，不能视为公司或管理层对公司业绩的保证或承诺，敬请广大投资者注意投资风险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175EB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F25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F25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5144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TNmZDIwMzQ5YzQ2NDJmMjllZjZmYzZiZGRhMWE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275A5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39B5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6664C"/>
    <w:rsid w:val="00C775BA"/>
    <w:rsid w:val="00C85331"/>
    <w:rsid w:val="00C85A50"/>
    <w:rsid w:val="00C94D46"/>
    <w:rsid w:val="00C96E02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953D7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22655F4"/>
    <w:rsid w:val="02B5206A"/>
    <w:rsid w:val="0616597F"/>
    <w:rsid w:val="07D76969"/>
    <w:rsid w:val="08976DA7"/>
    <w:rsid w:val="089C25F0"/>
    <w:rsid w:val="0DE85E53"/>
    <w:rsid w:val="0F184516"/>
    <w:rsid w:val="11685F36"/>
    <w:rsid w:val="127C6B6A"/>
    <w:rsid w:val="12992410"/>
    <w:rsid w:val="136E2957"/>
    <w:rsid w:val="14067033"/>
    <w:rsid w:val="156B7123"/>
    <w:rsid w:val="15D44977"/>
    <w:rsid w:val="16B44764"/>
    <w:rsid w:val="1AFF745B"/>
    <w:rsid w:val="1B2418A5"/>
    <w:rsid w:val="1BDE5D65"/>
    <w:rsid w:val="1D1B764B"/>
    <w:rsid w:val="1D242EDD"/>
    <w:rsid w:val="1D2909AB"/>
    <w:rsid w:val="1D44297A"/>
    <w:rsid w:val="1FBFC074"/>
    <w:rsid w:val="20F14886"/>
    <w:rsid w:val="228D6B72"/>
    <w:rsid w:val="2297354C"/>
    <w:rsid w:val="22EF5136"/>
    <w:rsid w:val="25D54AB7"/>
    <w:rsid w:val="26D905D7"/>
    <w:rsid w:val="27B8643F"/>
    <w:rsid w:val="2AC1560A"/>
    <w:rsid w:val="2AF33EEB"/>
    <w:rsid w:val="2BC07887"/>
    <w:rsid w:val="2C7D1A05"/>
    <w:rsid w:val="2CD7041C"/>
    <w:rsid w:val="2D314CC9"/>
    <w:rsid w:val="2E0C1292"/>
    <w:rsid w:val="2E9F5C62"/>
    <w:rsid w:val="2F7B047E"/>
    <w:rsid w:val="31F1357D"/>
    <w:rsid w:val="33FC76B3"/>
    <w:rsid w:val="369D33CF"/>
    <w:rsid w:val="36FB9E1F"/>
    <w:rsid w:val="37296A11"/>
    <w:rsid w:val="3756532C"/>
    <w:rsid w:val="381D4930"/>
    <w:rsid w:val="3BFA3B96"/>
    <w:rsid w:val="3CEF3472"/>
    <w:rsid w:val="3EFF16E9"/>
    <w:rsid w:val="400973E0"/>
    <w:rsid w:val="41792343"/>
    <w:rsid w:val="42562684"/>
    <w:rsid w:val="46AA2F9F"/>
    <w:rsid w:val="47411B55"/>
    <w:rsid w:val="4A9500E9"/>
    <w:rsid w:val="4D2717ED"/>
    <w:rsid w:val="4D761E2D"/>
    <w:rsid w:val="4DB43081"/>
    <w:rsid w:val="51556929"/>
    <w:rsid w:val="524F15CA"/>
    <w:rsid w:val="547A48F8"/>
    <w:rsid w:val="55A453C5"/>
    <w:rsid w:val="56737851"/>
    <w:rsid w:val="57572CCF"/>
    <w:rsid w:val="57AC301B"/>
    <w:rsid w:val="5B444C62"/>
    <w:rsid w:val="5D0D6309"/>
    <w:rsid w:val="5F8E1258"/>
    <w:rsid w:val="607554C2"/>
    <w:rsid w:val="639F1C85"/>
    <w:rsid w:val="64FB2EEB"/>
    <w:rsid w:val="669E6224"/>
    <w:rsid w:val="67A23AF2"/>
    <w:rsid w:val="696B2119"/>
    <w:rsid w:val="6A301889"/>
    <w:rsid w:val="6C641B66"/>
    <w:rsid w:val="6D3B2A1F"/>
    <w:rsid w:val="6D9E2FAE"/>
    <w:rsid w:val="6DD95D94"/>
    <w:rsid w:val="6F547DC8"/>
    <w:rsid w:val="6F63625D"/>
    <w:rsid w:val="6F806E0F"/>
    <w:rsid w:val="71DC7029"/>
    <w:rsid w:val="728E35F1"/>
    <w:rsid w:val="761B163F"/>
    <w:rsid w:val="765E777E"/>
    <w:rsid w:val="77CF73AC"/>
    <w:rsid w:val="785901FD"/>
    <w:rsid w:val="78FF0116"/>
    <w:rsid w:val="79442C5B"/>
    <w:rsid w:val="799F4335"/>
    <w:rsid w:val="7AE446F6"/>
    <w:rsid w:val="7B301E50"/>
    <w:rsid w:val="7BDC361F"/>
    <w:rsid w:val="7C2823C0"/>
    <w:rsid w:val="7C2F10FF"/>
    <w:rsid w:val="7E2766A8"/>
    <w:rsid w:val="7F1D3E8E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Char Char Char1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3678</Words>
  <Characters>3825</Characters>
  <Lines>8</Lines>
  <Paragraphs>2</Paragraphs>
  <TotalTime>33</TotalTime>
  <ScaleCrop>false</ScaleCrop>
  <LinksUpToDate>false</LinksUpToDate>
  <CharactersWithSpaces>3956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2024-10-15T06:45:00Z</dcterms:created>
  <dc:creator>微软用户</dc:creator>
  <cp:lastModifiedBy>dengli</cp:lastModifiedBy>
  <cp:lastPrinted>2014-02-21T05:34:00Z</cp:lastPrinted>
  <dcterms:modified xsi:type="dcterms:W3CDTF">2025-05-26T06:30:29Z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4099F60D28384D1B8EDC67403981EDCD_13</vt:lpwstr>
  </property>
  <property fmtid="{D5CDD505-2E9C-101B-9397-08002B2CF9AE}" pid="4" name="KSOTemplateDocerSaveRecord">
    <vt:lpwstr>eyJoZGlkIjoiN2VkMTNmZDIwMzQ5YzQ2NDJmMjllZjZmYzZiZGRhMWEiLCJ1c2VySWQiOiIzOTg3NzU4NTEifQ==</vt:lpwstr>
  </property>
</Properties>
</file>