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1" w:line="218" w:lineRule="auto"/>
        <w:ind w:left="126"/>
      </w:pPr>
      <w:r>
        <w:rPr>
          <w:b/>
          <w:bCs/>
          <w:spacing w:val="-1"/>
        </w:rPr>
        <w:t>股票代码：</w:t>
      </w:r>
      <w:r>
        <w:rPr>
          <w:rFonts w:hint="eastAsia"/>
          <w:b/>
          <w:bCs/>
          <w:spacing w:val="-1"/>
          <w:lang w:val="en-US" w:eastAsia="zh-CN"/>
        </w:rPr>
        <w:t>603373</w:t>
      </w:r>
      <w:r>
        <w:rPr>
          <w:spacing w:val="-1"/>
        </w:rPr>
        <w:t xml:space="preserve">        </w:t>
      </w:r>
      <w:r>
        <w:rPr>
          <w:rFonts w:hint="eastAsia"/>
          <w:spacing w:val="-1"/>
          <w:lang w:val="en-US" w:eastAsia="zh-CN"/>
        </w:rPr>
        <w:t xml:space="preserve">      </w:t>
      </w:r>
      <w:r>
        <w:rPr>
          <w:rFonts w:hint="default"/>
          <w:spacing w:val="-1"/>
          <w:lang w:val="en-US" w:eastAsia="zh-CN"/>
        </w:rPr>
        <w:t xml:space="preserve">                                </w:t>
      </w:r>
      <w:r>
        <w:rPr>
          <w:b/>
          <w:bCs/>
          <w:spacing w:val="-1"/>
        </w:rPr>
        <w:t>证券简称：</w:t>
      </w:r>
      <w:r>
        <w:rPr>
          <w:rFonts w:hint="eastAsia"/>
          <w:b/>
          <w:bCs/>
          <w:spacing w:val="-1"/>
          <w:lang w:val="en-US" w:eastAsia="zh-CN"/>
        </w:rPr>
        <w:t>安邦护卫</w:t>
      </w:r>
      <w:r>
        <w:rPr>
          <w:spacing w:val="-1"/>
        </w:rPr>
        <w:t xml:space="preserve"> </w:t>
      </w:r>
    </w:p>
    <w:p>
      <w:pPr>
        <w:spacing w:before="117" w:line="220" w:lineRule="auto"/>
        <w:ind w:left="2782"/>
        <w:outlineLvl w:val="0"/>
        <w:rPr>
          <w:rFonts w:ascii="宋体" w:hAnsi="宋体" w:eastAsia="宋体" w:cs="宋体"/>
          <w:b/>
          <w:bCs/>
          <w:spacing w:val="-5"/>
          <w:sz w:val="36"/>
          <w:szCs w:val="36"/>
        </w:rPr>
      </w:pPr>
    </w:p>
    <w:p>
      <w:pPr>
        <w:spacing w:before="117" w:line="220" w:lineRule="auto"/>
        <w:ind w:left="2782"/>
        <w:outlineLvl w:val="0"/>
        <w:rPr>
          <w:rFonts w:ascii="宋体" w:hAnsi="宋体" w:eastAsia="宋体" w:cs="宋体"/>
          <w:sz w:val="36"/>
          <w:szCs w:val="36"/>
        </w:rPr>
      </w:pPr>
      <w:r>
        <w:rPr>
          <w:rFonts w:hint="eastAsia" w:ascii="黑体" w:hAnsi="黑体" w:eastAsia="黑体" w:cs="黑体"/>
          <w:b/>
          <w:bCs/>
          <w:color w:val="FF0000"/>
          <w:spacing w:val="-4"/>
          <w:sz w:val="36"/>
          <w:szCs w:val="36"/>
          <w:lang w:val="en-US" w:eastAsia="zh-CN"/>
        </w:rPr>
        <w:t>安邦护卫集团股份有限</w:t>
      </w:r>
      <w:r>
        <w:rPr>
          <w:rFonts w:ascii="黑体" w:hAnsi="黑体" w:eastAsia="黑体" w:cs="黑体"/>
          <w:b/>
          <w:bCs/>
          <w:color w:val="FF0000"/>
          <w:spacing w:val="-4"/>
          <w:sz w:val="36"/>
          <w:szCs w:val="36"/>
        </w:rPr>
        <w:t>公司</w:t>
      </w:r>
    </w:p>
    <w:p>
      <w:pPr>
        <w:spacing w:before="273" w:line="220" w:lineRule="auto"/>
        <w:ind w:left="3117"/>
        <w:outlineLvl w:val="0"/>
        <w:rPr>
          <w:rFonts w:ascii="宋体" w:hAnsi="宋体" w:eastAsia="宋体" w:cs="宋体"/>
          <w:sz w:val="36"/>
          <w:szCs w:val="36"/>
        </w:rPr>
      </w:pPr>
      <w:r>
        <w:rPr>
          <w:rFonts w:hint="eastAsia" w:ascii="黑体" w:hAnsi="黑体" w:eastAsia="黑体" w:cs="黑体"/>
          <w:b/>
          <w:bCs/>
          <w:color w:val="FF0000"/>
          <w:spacing w:val="-4"/>
          <w:sz w:val="36"/>
          <w:szCs w:val="36"/>
          <w:lang w:val="en-US" w:eastAsia="zh-CN"/>
        </w:rPr>
        <w:t>投资者关系活动记录表</w:t>
      </w:r>
    </w:p>
    <w:p>
      <w:pPr>
        <w:spacing w:line="248" w:lineRule="auto"/>
        <w:rPr>
          <w:rFonts w:ascii="Arial"/>
          <w:sz w:val="21"/>
        </w:rPr>
      </w:pPr>
    </w:p>
    <w:p>
      <w:pPr>
        <w:spacing w:before="78" w:line="220" w:lineRule="auto"/>
        <w:ind w:left="7137" w:firstLine="448" w:firstLineChars="200"/>
        <w:rPr>
          <w:rFonts w:hint="eastAsia" w:ascii="宋体" w:hAnsi="宋体" w:eastAsia="宋体" w:cs="宋体"/>
          <w:sz w:val="24"/>
          <w:szCs w:val="24"/>
          <w:lang w:val="en-US" w:eastAsia="zh-CN"/>
        </w:rPr>
      </w:pPr>
      <w:r>
        <w:rPr>
          <w:rFonts w:ascii="宋体" w:hAnsi="宋体" w:eastAsia="宋体" w:cs="宋体"/>
          <w:spacing w:val="-8"/>
          <w:sz w:val="24"/>
          <w:szCs w:val="24"/>
        </w:rPr>
        <w:t>记录表编号：202</w:t>
      </w:r>
      <w:r>
        <w:rPr>
          <w:rFonts w:hint="eastAsia" w:ascii="宋体" w:hAnsi="宋体" w:eastAsia="宋体" w:cs="宋体"/>
          <w:spacing w:val="-8"/>
          <w:sz w:val="24"/>
          <w:szCs w:val="24"/>
          <w:lang w:val="en-US" w:eastAsia="zh-CN"/>
        </w:rPr>
        <w:t>5</w:t>
      </w:r>
      <w:r>
        <w:rPr>
          <w:rFonts w:ascii="宋体" w:hAnsi="宋体" w:eastAsia="宋体" w:cs="宋体"/>
          <w:spacing w:val="-8"/>
          <w:sz w:val="24"/>
          <w:szCs w:val="24"/>
        </w:rPr>
        <w:t>-00</w:t>
      </w:r>
      <w:r>
        <w:rPr>
          <w:rFonts w:hint="eastAsia" w:ascii="宋体" w:hAnsi="宋体" w:eastAsia="宋体" w:cs="宋体"/>
          <w:spacing w:val="-8"/>
          <w:sz w:val="24"/>
          <w:szCs w:val="24"/>
          <w:lang w:val="en-US" w:eastAsia="zh-CN"/>
        </w:rPr>
        <w:t>1</w:t>
      </w:r>
    </w:p>
    <w:p>
      <w:pPr>
        <w:spacing w:line="29" w:lineRule="exact"/>
      </w:pPr>
    </w:p>
    <w:tbl>
      <w:tblPr>
        <w:tblStyle w:val="5"/>
        <w:tblW w:w="100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4"/>
        <w:gridCol w:w="2586"/>
        <w:gridCol w:w="58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9" w:hRule="atLeast"/>
        </w:trPr>
        <w:tc>
          <w:tcPr>
            <w:tcW w:w="1574" w:type="dxa"/>
            <w:vAlign w:val="top"/>
          </w:tcPr>
          <w:p>
            <w:pPr>
              <w:spacing w:line="289" w:lineRule="auto"/>
              <w:rPr>
                <w:rFonts w:ascii="Arial"/>
                <w:sz w:val="21"/>
              </w:rPr>
            </w:pPr>
          </w:p>
          <w:p>
            <w:pPr>
              <w:spacing w:line="289" w:lineRule="auto"/>
              <w:rPr>
                <w:rFonts w:ascii="Arial"/>
                <w:sz w:val="21"/>
              </w:rPr>
            </w:pPr>
          </w:p>
          <w:p>
            <w:pPr>
              <w:pStyle w:val="6"/>
              <w:spacing w:before="78" w:line="230" w:lineRule="auto"/>
              <w:ind w:left="257" w:right="240" w:hanging="121"/>
            </w:pPr>
            <w:r>
              <w:rPr>
                <w:b/>
                <w:bCs/>
                <w:spacing w:val="-5"/>
              </w:rPr>
              <w:t>投资者关系</w:t>
            </w:r>
            <w:r>
              <w:rPr>
                <w:spacing w:val="3"/>
              </w:rPr>
              <w:t xml:space="preserve"> </w:t>
            </w:r>
            <w:r>
              <w:rPr>
                <w:b/>
                <w:bCs/>
                <w:spacing w:val="-5"/>
              </w:rPr>
              <w:t>活动类别</w:t>
            </w:r>
          </w:p>
        </w:tc>
        <w:tc>
          <w:tcPr>
            <w:tcW w:w="2586" w:type="dxa"/>
            <w:tcBorders>
              <w:right w:val="nil"/>
            </w:tcBorders>
            <w:vAlign w:val="top"/>
          </w:tcPr>
          <w:p>
            <w:pPr>
              <w:pStyle w:val="6"/>
              <w:spacing w:before="133" w:line="220" w:lineRule="auto"/>
              <w:ind w:left="140"/>
            </w:pPr>
            <w:r>
              <w:rPr>
                <w:rFonts w:hint="default"/>
                <w:spacing w:val="-5"/>
                <w:lang w:val="en-US" w:eastAsia="zh-CN"/>
              </w:rPr>
              <w:t>□</w:t>
            </w:r>
            <w:r>
              <w:rPr>
                <w:spacing w:val="-5"/>
              </w:rPr>
              <w:t>特定对象调研</w:t>
            </w:r>
          </w:p>
          <w:p>
            <w:pPr>
              <w:pStyle w:val="6"/>
              <w:spacing w:before="196" w:line="219" w:lineRule="auto"/>
              <w:ind w:left="140"/>
            </w:pPr>
            <w:r>
              <w:rPr>
                <w:spacing w:val="-7"/>
              </w:rPr>
              <w:t>□媒体采访</w:t>
            </w:r>
          </w:p>
          <w:p>
            <w:pPr>
              <w:pStyle w:val="6"/>
              <w:spacing w:before="227" w:line="219" w:lineRule="auto"/>
              <w:ind w:left="140"/>
            </w:pPr>
            <w:r>
              <w:rPr>
                <w:spacing w:val="-6"/>
              </w:rPr>
              <w:t>□新闻发布会</w:t>
            </w:r>
          </w:p>
          <w:p>
            <w:pPr>
              <w:pStyle w:val="6"/>
              <w:spacing w:before="267" w:line="220" w:lineRule="auto"/>
              <w:ind w:left="140"/>
            </w:pPr>
            <w:r>
              <w:rPr>
                <w:rFonts w:hint="eastAsia"/>
                <w:spacing w:val="-7"/>
                <w:lang w:val="en-US" w:eastAsia="zh-CN"/>
              </w:rPr>
              <w:t>□</w:t>
            </w:r>
            <w:r>
              <w:rPr>
                <w:spacing w:val="-7"/>
              </w:rPr>
              <w:t>现场参观</w:t>
            </w:r>
          </w:p>
        </w:tc>
        <w:tc>
          <w:tcPr>
            <w:tcW w:w="5864" w:type="dxa"/>
            <w:tcBorders>
              <w:left w:val="nil"/>
            </w:tcBorders>
            <w:vAlign w:val="top"/>
          </w:tcPr>
          <w:p>
            <w:pPr>
              <w:pStyle w:val="6"/>
              <w:spacing w:before="134" w:line="219" w:lineRule="auto"/>
              <w:ind w:left="797"/>
            </w:pPr>
            <w:r>
              <w:rPr>
                <w:spacing w:val="-6"/>
              </w:rPr>
              <w:t>□分析师会议</w:t>
            </w:r>
          </w:p>
          <w:p>
            <w:pPr>
              <w:pStyle w:val="6"/>
              <w:spacing w:before="197" w:line="219" w:lineRule="auto"/>
              <w:ind w:left="797"/>
            </w:pPr>
            <w:r>
              <w:rPr>
                <w:rFonts w:hint="eastAsia"/>
                <w:spacing w:val="-6"/>
                <w:lang w:eastAsia="zh-CN"/>
              </w:rPr>
              <w:t>☑</w:t>
            </w:r>
            <w:r>
              <w:rPr>
                <w:spacing w:val="-6"/>
              </w:rPr>
              <w:t>业绩说明会</w:t>
            </w:r>
          </w:p>
          <w:p>
            <w:pPr>
              <w:pStyle w:val="6"/>
              <w:spacing w:before="226" w:line="220" w:lineRule="auto"/>
              <w:ind w:left="797"/>
            </w:pPr>
            <w:r>
              <w:rPr>
                <w:rFonts w:hint="eastAsia"/>
                <w:spacing w:val="-7"/>
                <w:lang w:eastAsia="zh-CN"/>
              </w:rPr>
              <w:t>□</w:t>
            </w:r>
            <w:r>
              <w:rPr>
                <w:spacing w:val="-7"/>
              </w:rPr>
              <w:t>路演活动</w:t>
            </w:r>
          </w:p>
          <w:p>
            <w:pPr>
              <w:pStyle w:val="6"/>
              <w:spacing w:before="266" w:line="219" w:lineRule="auto"/>
              <w:ind w:left="797"/>
            </w:pPr>
            <w:r>
              <w:rPr>
                <w:rFonts w:hint="eastAsia"/>
                <w:spacing w:val="-7"/>
                <w:lang w:eastAsia="zh-CN"/>
              </w:rPr>
              <w:t>□</w:t>
            </w:r>
            <w:r>
              <w:rPr>
                <w:spacing w:val="-5"/>
              </w:rPr>
              <w:t>其他：电话会议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0" w:hRule="atLeast"/>
        </w:trPr>
        <w:tc>
          <w:tcPr>
            <w:tcW w:w="1574" w:type="dxa"/>
            <w:vAlign w:val="top"/>
          </w:tcPr>
          <w:p>
            <w:pPr>
              <w:pStyle w:val="6"/>
              <w:spacing w:before="310" w:line="230" w:lineRule="auto"/>
              <w:ind w:left="190" w:right="62" w:hanging="117"/>
            </w:pPr>
            <w:r>
              <w:rPr>
                <w:b/>
                <w:bCs/>
                <w:spacing w:val="-4"/>
              </w:rPr>
              <w:t>参与单位名称</w:t>
            </w:r>
            <w:r>
              <w:t xml:space="preserve"> </w:t>
            </w:r>
            <w:r>
              <w:rPr>
                <w:b/>
                <w:bCs/>
                <w:spacing w:val="-4"/>
              </w:rPr>
              <w:t>及人员姓名</w:t>
            </w:r>
          </w:p>
        </w:tc>
        <w:tc>
          <w:tcPr>
            <w:tcW w:w="8450" w:type="dxa"/>
            <w:gridSpan w:val="2"/>
            <w:vAlign w:val="center"/>
          </w:tcPr>
          <w:p>
            <w:pPr>
              <w:pStyle w:val="6"/>
              <w:spacing w:before="153" w:line="232" w:lineRule="auto"/>
              <w:ind w:right="4"/>
              <w:jc w:val="both"/>
            </w:pPr>
            <w:r>
              <w:rPr>
                <w:rFonts w:hint="eastAsia"/>
                <w:lang w:eastAsia="zh-CN"/>
              </w:rPr>
              <w:t>参与本次业绩说明会的</w:t>
            </w:r>
            <w:r>
              <w:rPr>
                <w:rFonts w:hint="eastAsia"/>
              </w:rPr>
              <w:t>投资</w:t>
            </w:r>
            <w:r>
              <w:rPr>
                <w:rFonts w:hint="eastAsia"/>
                <w:lang w:val="en-US" w:eastAsia="zh-CN"/>
              </w:rPr>
              <w:t>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574" w:type="dxa"/>
            <w:vAlign w:val="top"/>
          </w:tcPr>
          <w:p>
            <w:pPr>
              <w:pStyle w:val="6"/>
              <w:spacing w:before="219" w:line="222" w:lineRule="auto"/>
              <w:ind w:left="563"/>
            </w:pPr>
            <w:r>
              <w:rPr>
                <w:b/>
                <w:bCs/>
                <w:spacing w:val="-8"/>
              </w:rPr>
              <w:t>时间</w:t>
            </w:r>
          </w:p>
        </w:tc>
        <w:tc>
          <w:tcPr>
            <w:tcW w:w="8450" w:type="dxa"/>
            <w:gridSpan w:val="2"/>
            <w:vAlign w:val="center"/>
          </w:tcPr>
          <w:p>
            <w:pPr>
              <w:pStyle w:val="6"/>
              <w:spacing w:before="202" w:line="220" w:lineRule="auto"/>
              <w:jc w:val="both"/>
            </w:pPr>
            <w:r>
              <w:rPr>
                <w:spacing w:val="-1"/>
              </w:rPr>
              <w:t>202</w:t>
            </w:r>
            <w:r>
              <w:rPr>
                <w:rFonts w:hint="eastAsia"/>
                <w:spacing w:val="-1"/>
                <w:lang w:val="en-US" w:eastAsia="zh-CN"/>
              </w:rPr>
              <w:t>5</w:t>
            </w:r>
            <w:r>
              <w:rPr>
                <w:spacing w:val="-1"/>
              </w:rPr>
              <w:t>年</w:t>
            </w:r>
            <w:r>
              <w:rPr>
                <w:rFonts w:hint="eastAsia"/>
                <w:spacing w:val="-1"/>
                <w:lang w:val="en-US" w:eastAsia="zh-CN"/>
              </w:rPr>
              <w:t>5</w:t>
            </w:r>
            <w:r>
              <w:rPr>
                <w:spacing w:val="-1"/>
              </w:rPr>
              <w:t>月</w:t>
            </w:r>
            <w:r>
              <w:rPr>
                <w:rFonts w:hint="eastAsia"/>
                <w:spacing w:val="-1"/>
                <w:lang w:val="en-US" w:eastAsia="zh-CN"/>
              </w:rPr>
              <w:t>26</w:t>
            </w:r>
            <w:r>
              <w:rPr>
                <w:rFonts w:hint="eastAsia"/>
                <w:spacing w:val="-1"/>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574" w:type="dxa"/>
            <w:vAlign w:val="top"/>
          </w:tcPr>
          <w:p>
            <w:pPr>
              <w:pStyle w:val="6"/>
              <w:spacing w:before="221" w:line="224" w:lineRule="auto"/>
              <w:ind w:left="552"/>
            </w:pPr>
            <w:r>
              <w:rPr>
                <w:b/>
                <w:bCs/>
                <w:spacing w:val="-5"/>
              </w:rPr>
              <w:t>地点</w:t>
            </w:r>
          </w:p>
        </w:tc>
        <w:tc>
          <w:tcPr>
            <w:tcW w:w="8450" w:type="dxa"/>
            <w:gridSpan w:val="2"/>
            <w:vAlign w:val="center"/>
          </w:tcPr>
          <w:p>
            <w:pPr>
              <w:pStyle w:val="6"/>
              <w:spacing w:before="204" w:line="219" w:lineRule="auto"/>
              <w:jc w:val="both"/>
              <w:rPr>
                <w:rFonts w:hint="default" w:eastAsia="宋体"/>
                <w:lang w:val="en-US" w:eastAsia="zh-CN"/>
              </w:rPr>
            </w:pPr>
            <w:r>
              <w:rPr>
                <w:rFonts w:ascii="宋体" w:hAnsi="宋体" w:eastAsia="宋体" w:cs="宋体"/>
                <w:spacing w:val="-11"/>
                <w:kern w:val="13"/>
                <w:sz w:val="24"/>
                <w:szCs w:val="24"/>
              </w:rPr>
              <w:t>上海证券报·中国证券网（https://roadshow.cnstock.com/）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574" w:type="dxa"/>
            <w:vAlign w:val="top"/>
          </w:tcPr>
          <w:p>
            <w:pPr>
              <w:pStyle w:val="6"/>
              <w:spacing w:before="191" w:line="230" w:lineRule="auto"/>
              <w:ind w:left="313" w:right="62" w:hanging="240"/>
            </w:pPr>
            <w:r>
              <w:rPr>
                <w:b/>
                <w:bCs/>
                <w:spacing w:val="-4"/>
              </w:rPr>
              <w:t>上市公司接待</w:t>
            </w:r>
            <w:r>
              <w:t xml:space="preserve"> </w:t>
            </w:r>
            <w:r>
              <w:rPr>
                <w:b/>
                <w:bCs/>
                <w:spacing w:val="-5"/>
              </w:rPr>
              <w:t>人员姓名</w:t>
            </w:r>
          </w:p>
        </w:tc>
        <w:tc>
          <w:tcPr>
            <w:tcW w:w="8450" w:type="dxa"/>
            <w:gridSpan w:val="2"/>
            <w:vAlign w:val="center"/>
          </w:tcPr>
          <w:p>
            <w:pPr>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en-US" w:bidi="ar-SA"/>
              </w:rPr>
              <w:t>董事长、党委书记</w:t>
            </w:r>
            <w:r>
              <w:rPr>
                <w:rFonts w:hint="eastAsia" w:ascii="宋体" w:hAnsi="宋体" w:eastAsia="宋体" w:cs="宋体"/>
                <w:snapToGrid w:val="0"/>
                <w:color w:val="000000"/>
                <w:kern w:val="0"/>
                <w:sz w:val="24"/>
                <w:szCs w:val="24"/>
                <w:lang w:val="en-US" w:eastAsia="zh-CN" w:bidi="ar-SA"/>
              </w:rPr>
              <w:t>：谢伟</w:t>
            </w:r>
          </w:p>
          <w:p>
            <w:pP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董事、总经理兼财务负责人、党委副书记</w:t>
            </w:r>
            <w:r>
              <w:rPr>
                <w:rFonts w:hint="eastAsia" w:ascii="宋体" w:hAnsi="宋体" w:eastAsia="宋体"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诸葛斌</w:t>
            </w:r>
          </w:p>
          <w:p>
            <w:pP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董事会秘书</w:t>
            </w:r>
            <w:r>
              <w:rPr>
                <w:rFonts w:hint="eastAsia" w:ascii="宋体" w:hAnsi="宋体" w:eastAsia="宋体"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周黎隽</w:t>
            </w:r>
          </w:p>
          <w:p>
            <w:pP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资产财务部总经理：张肖肖</w:t>
            </w:r>
          </w:p>
          <w:p>
            <w:pPr>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独立董事：王韬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5" w:hRule="atLeast"/>
        </w:trPr>
        <w:tc>
          <w:tcPr>
            <w:tcW w:w="1574"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8" w:line="220" w:lineRule="auto"/>
              <w:ind w:left="74"/>
            </w:pPr>
            <w:r>
              <w:rPr>
                <w:b/>
                <w:bCs/>
                <w:spacing w:val="-4"/>
              </w:rPr>
              <w:t>投资者关系活</w:t>
            </w:r>
          </w:p>
          <w:p>
            <w:pPr>
              <w:pStyle w:val="6"/>
              <w:spacing w:before="25" w:line="219" w:lineRule="auto"/>
              <w:ind w:left="72"/>
            </w:pPr>
            <w:r>
              <w:rPr>
                <w:b/>
                <w:bCs/>
                <w:spacing w:val="-4"/>
              </w:rPr>
              <w:t>动主要内容介</w:t>
            </w:r>
          </w:p>
          <w:p>
            <w:pPr>
              <w:pStyle w:val="6"/>
              <w:spacing w:before="27" w:line="225" w:lineRule="auto"/>
              <w:ind w:left="678"/>
            </w:pPr>
            <w:r>
              <w:rPr>
                <w:b/>
                <w:bCs/>
                <w:spacing w:val="-3"/>
              </w:rPr>
              <w:t>绍</w:t>
            </w:r>
          </w:p>
        </w:tc>
        <w:tc>
          <w:tcPr>
            <w:tcW w:w="8450" w:type="dxa"/>
            <w:gridSpan w:val="2"/>
            <w:vAlign w:val="top"/>
          </w:tcPr>
          <w:p>
            <w:pPr>
              <w:pStyle w:val="7"/>
              <w:numPr>
                <w:ilvl w:val="0"/>
                <w:numId w:val="0"/>
              </w:numPr>
              <w:spacing w:line="240" w:lineRule="auto"/>
              <w:ind w:leftChars="0" w:firstLine="480" w:firstLineChars="200"/>
              <w:rPr>
                <w:rFonts w:hint="eastAsia" w:ascii="宋体" w:hAnsi="宋体" w:eastAsia="宋体" w:cs="Arial"/>
                <w:snapToGrid w:val="0"/>
                <w:color w:val="000000" w:themeColor="text1"/>
                <w:kern w:val="0"/>
                <w:sz w:val="24"/>
                <w:szCs w:val="21"/>
                <w:lang w:val="en-US" w:eastAsia="zh-CN" w:bidi="ar-SA"/>
                <w14:textFill>
                  <w14:solidFill>
                    <w14:schemeClr w14:val="tx1"/>
                  </w14:solidFill>
                </w14:textFill>
              </w:rPr>
            </w:pPr>
            <w:r>
              <w:rPr>
                <w:rFonts w:ascii="宋体" w:hAnsi="宋体" w:eastAsia="宋体" w:cs="Arial"/>
                <w:snapToGrid w:val="0"/>
                <w:color w:val="000000" w:themeColor="text1"/>
                <w:kern w:val="0"/>
                <w:sz w:val="24"/>
                <w:szCs w:val="21"/>
                <w:lang w:val="en-US" w:eastAsia="en-US" w:bidi="ar-SA"/>
                <w14:textFill>
                  <w14:solidFill>
                    <w14:schemeClr w14:val="tx1"/>
                  </w14:solidFill>
                </w14:textFill>
              </w:rPr>
              <w:t>公司于202</w:t>
            </w:r>
            <w:r>
              <w:rPr>
                <w:rFonts w:hint="eastAsia" w:ascii="宋体" w:hAnsi="宋体" w:eastAsia="宋体" w:cs="Arial"/>
                <w:snapToGrid w:val="0"/>
                <w:color w:val="000000" w:themeColor="text1"/>
                <w:kern w:val="0"/>
                <w:sz w:val="24"/>
                <w:szCs w:val="21"/>
                <w:lang w:val="en-US" w:eastAsia="en-US" w:bidi="ar-SA"/>
                <w14:textFill>
                  <w14:solidFill>
                    <w14:schemeClr w14:val="tx1"/>
                  </w14:solidFill>
                </w14:textFill>
              </w:rPr>
              <w:t>5年5月26日</w:t>
            </w:r>
            <w:r>
              <w:rPr>
                <w:rFonts w:ascii="宋体" w:hAnsi="宋体" w:eastAsia="宋体" w:cs="Arial"/>
                <w:snapToGrid w:val="0"/>
                <w:color w:val="000000" w:themeColor="text1"/>
                <w:kern w:val="0"/>
                <w:sz w:val="24"/>
                <w:szCs w:val="21"/>
                <w:lang w:val="en-US" w:eastAsia="en-US" w:bidi="ar-SA"/>
                <w14:textFill>
                  <w14:solidFill>
                    <w14:schemeClr w14:val="tx1"/>
                  </w14:solidFill>
                </w14:textFill>
              </w:rPr>
              <w:t>通过网络文字互动方式召开2024</w:t>
            </w:r>
            <w:r>
              <w:rPr>
                <w:rFonts w:hint="eastAsia" w:ascii="宋体" w:hAnsi="宋体" w:eastAsia="宋体" w:cs="Arial"/>
                <w:snapToGrid w:val="0"/>
                <w:color w:val="000000" w:themeColor="text1"/>
                <w:kern w:val="0"/>
                <w:sz w:val="24"/>
                <w:szCs w:val="21"/>
                <w:lang w:val="en-US" w:eastAsia="zh-CN" w:bidi="ar-SA"/>
                <w14:textFill>
                  <w14:solidFill>
                    <w14:schemeClr w14:val="tx1"/>
                  </w14:solidFill>
                </w14:textFill>
              </w:rPr>
              <w:t>年度暨2025年第一季</w:t>
            </w:r>
            <w:r>
              <w:rPr>
                <w:rFonts w:ascii="宋体" w:hAnsi="宋体" w:eastAsia="宋体" w:cs="Arial"/>
                <w:snapToGrid w:val="0"/>
                <w:color w:val="000000" w:themeColor="text1"/>
                <w:kern w:val="0"/>
                <w:sz w:val="24"/>
                <w:szCs w:val="21"/>
                <w:lang w:val="en-US" w:eastAsia="en-US" w:bidi="ar-SA"/>
                <w14:textFill>
                  <w14:solidFill>
                    <w14:schemeClr w14:val="tx1"/>
                  </w14:solidFill>
                </w14:textFill>
              </w:rPr>
              <w:t>度业绩说明会</w:t>
            </w:r>
            <w:r>
              <w:rPr>
                <w:rFonts w:hint="eastAsia" w:ascii="宋体" w:hAnsi="宋体" w:eastAsia="宋体" w:cs="Arial"/>
                <w:snapToGrid w:val="0"/>
                <w:color w:val="000000" w:themeColor="text1"/>
                <w:kern w:val="0"/>
                <w:sz w:val="24"/>
                <w:szCs w:val="21"/>
                <w:lang w:val="en-US" w:eastAsia="zh-CN" w:bidi="ar-SA"/>
                <w14:textFill>
                  <w14:solidFill>
                    <w14:schemeClr w14:val="tx1"/>
                  </w14:solidFill>
                </w14:textFill>
              </w:rPr>
              <w:t>，</w:t>
            </w:r>
            <w:r>
              <w:rPr>
                <w:rFonts w:ascii="宋体" w:hAnsi="宋体" w:eastAsia="宋体" w:cs="Arial"/>
                <w:snapToGrid w:val="0"/>
                <w:color w:val="000000" w:themeColor="text1"/>
                <w:kern w:val="0"/>
                <w:sz w:val="24"/>
                <w:szCs w:val="21"/>
                <w:lang w:val="en-US" w:eastAsia="en-US" w:bidi="ar-SA"/>
                <w14:textFill>
                  <w14:solidFill>
                    <w14:schemeClr w14:val="tx1"/>
                  </w14:solidFill>
                </w14:textFill>
              </w:rPr>
              <w:t>就投资者关心的问题进行交流。</w:t>
            </w:r>
            <w:r>
              <w:rPr>
                <w:rFonts w:hint="eastAsia" w:ascii="宋体" w:hAnsi="宋体" w:eastAsia="宋体" w:cs="Arial"/>
                <w:snapToGrid w:val="0"/>
                <w:color w:val="000000" w:themeColor="text1"/>
                <w:kern w:val="0"/>
                <w:sz w:val="24"/>
                <w:szCs w:val="21"/>
                <w:lang w:val="en-US" w:eastAsia="en-US" w:bidi="ar-SA"/>
                <w14:textFill>
                  <w14:solidFill>
                    <w14:schemeClr w14:val="tx1"/>
                  </w14:solidFill>
                </w14:textFill>
              </w:rPr>
              <w:t>主要内容如下</w:t>
            </w:r>
            <w:r>
              <w:rPr>
                <w:rFonts w:hint="eastAsia" w:ascii="宋体" w:hAnsi="宋体" w:eastAsia="宋体" w:cs="Arial"/>
                <w:snapToGrid w:val="0"/>
                <w:color w:val="000000" w:themeColor="text1"/>
                <w:kern w:val="0"/>
                <w:sz w:val="24"/>
                <w:szCs w:val="21"/>
                <w:lang w:val="en-US" w:eastAsia="zh-CN" w:bidi="ar-SA"/>
                <w14:textFill>
                  <w14:solidFill>
                    <w14:schemeClr w14:val="tx1"/>
                  </w14:solidFill>
                </w14:textFill>
              </w:rPr>
              <w:t>：</w:t>
            </w:r>
          </w:p>
          <w:p>
            <w:pPr>
              <w:spacing w:line="240" w:lineRule="auto"/>
              <w:ind w:firstLine="482" w:firstLineChars="200"/>
              <w:outlineLvl w:val="0"/>
              <w:rPr>
                <w:rFonts w:hint="eastAsia" w:ascii="宋体" w:hAnsi="宋体" w:eastAsia="宋体"/>
                <w:b/>
                <w:bCs/>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1、</w:t>
            </w:r>
            <w:r>
              <w:rPr>
                <w:rFonts w:ascii="宋体" w:hAnsi="宋体" w:eastAsia="宋体"/>
                <w:b/>
                <w:bCs/>
                <w:color w:val="000000" w:themeColor="text1"/>
                <w:sz w:val="24"/>
                <w:shd w:val="clear" w:color="auto" w:fill="FFFFFF"/>
                <w14:textFill>
                  <w14:solidFill>
                    <w14:schemeClr w14:val="tx1"/>
                  </w14:solidFill>
                </w14:textFill>
              </w:rPr>
              <w:t>请问贵公司2024年在低空安全领域业务布局及最新进展如何？有哪些新突破？</w:t>
            </w:r>
            <w:bookmarkStart w:id="0" w:name="_GoBack"/>
            <w:bookmarkEnd w:id="0"/>
          </w:p>
          <w:p>
            <w:pPr>
              <w:spacing w:line="240" w:lineRule="auto"/>
              <w:ind w:firstLine="480" w:firstLineChars="200"/>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答：尊敬的投资者您好！公司与浙江省公安厅巡特警总队达成战略合作协议，参与全省低空经济安全底座建设，2024年低空安全服务新增合同60余份，年合同额超2000万元。绍兴安邦“一机一码”无人机感知管控新模式与合作研发的报文识别基站，顺利实现绍兴越城区全域覆盖，并与公安部三所合作建设无人机数据采集实验室；衢州安邦迭代升级“零距离”空地一体作战指挥平台，圆满完成国家“应急使命·2024”超强台风防范和特大洪涝灾害联合救援演习任务；杭州安邦在滨江区开展低空安全管理试点，成功实现区域内飞行服务全覆盖；舟山安邦积极参与舟山地区城市级无人机管控平台建设。感谢您的关注。</w:t>
            </w:r>
          </w:p>
          <w:p>
            <w:pPr>
              <w:spacing w:line="240" w:lineRule="auto"/>
              <w:ind w:firstLine="482" w:firstLineChars="200"/>
              <w:outlineLvl w:val="0"/>
              <w:rPr>
                <w:rFonts w:ascii="宋体" w:hAnsi="宋体" w:eastAsia="宋体"/>
                <w:b/>
                <w:bCs/>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2、</w:t>
            </w:r>
            <w:r>
              <w:rPr>
                <w:rFonts w:ascii="宋体" w:hAnsi="宋体" w:eastAsia="宋体"/>
                <w:b/>
                <w:bCs/>
                <w:color w:val="000000" w:themeColor="text1"/>
                <w:sz w:val="24"/>
                <w14:textFill>
                  <w14:solidFill>
                    <w14:schemeClr w14:val="tx1"/>
                  </w14:solidFill>
                </w14:textFill>
              </w:rPr>
              <w:t>公司本期盈利水平如何？</w:t>
            </w:r>
          </w:p>
          <w:p>
            <w:pPr>
              <w:spacing w:line="240" w:lineRule="auto"/>
              <w:ind w:firstLine="480" w:firstLineChars="200"/>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答：尊敬的投资者您好！2024年，公司努力践行董事会“聚焦主业、科技赋能、战略转型”的整体发展思路，积极优化产业布局，完善公司治理，强化主业支撑，培育新兴动能，保持了主营业务整体持续增长的良好态势，呈现了稳中有进、稳中提质的良好局面。报告期内，公司经营收入稳步增长，实现营收26.57亿元，同比增长6.93%；净利润2.64亿元，同比增长0.63%，其中归属于上市公司股东净利润为1.25亿元，同比增长6.12%；同时公司经营活动产生现金流量净额4.00亿元，公司归属于上市公司股东的所有者权益同比增长4.52%，达到17.91亿元；另外公司资产结构稳健而优质，资产负债率为23.78%。感谢您的关注。</w:t>
            </w:r>
          </w:p>
          <w:p>
            <w:pPr>
              <w:spacing w:line="240" w:lineRule="auto"/>
              <w:ind w:firstLine="482" w:firstLineChars="200"/>
              <w:outlineLvl w:val="0"/>
              <w:rPr>
                <w:rFonts w:ascii="宋体" w:hAnsi="宋体" w:eastAsia="宋体"/>
                <w:b/>
                <w:bCs/>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3、</w:t>
            </w:r>
            <w:r>
              <w:rPr>
                <w:rFonts w:ascii="宋体" w:hAnsi="宋体" w:eastAsia="宋体"/>
                <w:b/>
                <w:bCs/>
                <w:color w:val="000000" w:themeColor="text1"/>
                <w:sz w:val="24"/>
                <w14:textFill>
                  <w14:solidFill>
                    <w14:schemeClr w14:val="tx1"/>
                  </w14:solidFill>
                </w14:textFill>
              </w:rPr>
              <w:t>公司2025年的业务发展方向和增长点会集中在哪些领域？</w:t>
            </w:r>
          </w:p>
          <w:p>
            <w:pPr>
              <w:spacing w:line="240" w:lineRule="auto"/>
              <w:ind w:firstLine="480" w:firstLineChars="200"/>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答：尊敬的投资者您好！2025年，公司继续深耕金融安全服务业务，加快区域现金中心的建设，加大安全应急板块和海外安保服务的开拓力度。在低空经济领域，从低空安防和无人机应用两方面入手，完善产业链布局，研发丰富、高效、精准的侦测、反制设备，持续完善“全方位、多层次、全立体”防御体系；拓展无人机具系统应用场景，例如森林防火巡查（实时火情监测与应急物资投送）、地质灾害监测（山体滑坡预警与灾后评估），通过多场景联动提升综合服务价值与经济效益。感谢您的关注。</w:t>
            </w:r>
          </w:p>
          <w:p>
            <w:pPr>
              <w:spacing w:line="240" w:lineRule="auto"/>
              <w:ind w:firstLine="482" w:firstLineChars="200"/>
              <w:outlineLvl w:val="0"/>
              <w:rPr>
                <w:rFonts w:ascii="宋体" w:hAnsi="宋体" w:eastAsia="宋体"/>
                <w:b/>
                <w:bCs/>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4、</w:t>
            </w:r>
            <w:r>
              <w:rPr>
                <w:rFonts w:ascii="宋体" w:hAnsi="宋体" w:eastAsia="宋体"/>
                <w:b/>
                <w:bCs/>
                <w:color w:val="000000" w:themeColor="text1"/>
                <w:sz w:val="24"/>
                <w14:textFill>
                  <w14:solidFill>
                    <w14:schemeClr w14:val="tx1"/>
                  </w14:solidFill>
                </w14:textFill>
              </w:rPr>
              <w:t>您好，请问贵公司的智慧政务业务涉及哪些方面？</w:t>
            </w:r>
          </w:p>
          <w:p>
            <w:pPr>
              <w:spacing w:line="240" w:lineRule="auto"/>
              <w:ind w:firstLine="480" w:firstLineChars="200"/>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答：尊敬的投资者您好！公司通过信息化和智能化手段提升业务监管和服务管理水平，目前已上线财务共享平台并优化人力资源管理，提高效率。在应急物资管理与政务协管服务方面，智能保管解决方案集成RFID追踪、温湿度调控、远程视证功能，革新传统物资管理模式，推动业务高质量发展。感谢您的关注。</w:t>
            </w:r>
          </w:p>
          <w:p>
            <w:pPr>
              <w:spacing w:line="240" w:lineRule="auto"/>
              <w:ind w:firstLine="482" w:firstLineChars="200"/>
              <w:outlineLvl w:val="0"/>
              <w:rPr>
                <w:rFonts w:ascii="宋体" w:hAnsi="宋体" w:eastAsia="宋体"/>
                <w:b/>
                <w:bCs/>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5、</w:t>
            </w:r>
            <w:r>
              <w:rPr>
                <w:rFonts w:ascii="宋体" w:hAnsi="宋体" w:eastAsia="宋体"/>
                <w:b/>
                <w:bCs/>
                <w:color w:val="000000" w:themeColor="text1"/>
                <w:sz w:val="24"/>
                <w14:textFill>
                  <w14:solidFill>
                    <w14:schemeClr w14:val="tx1"/>
                  </w14:solidFill>
                </w14:textFill>
              </w:rPr>
              <w:t>你好，请问贵公司在低空旅游方面有什么业务布局？</w:t>
            </w:r>
          </w:p>
          <w:p>
            <w:pPr>
              <w:spacing w:line="240" w:lineRule="auto"/>
              <w:ind w:firstLine="480" w:firstLineChars="200"/>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答：尊敬的投资者您好！公司目前没有低空旅游业务，感谢您的关注。</w:t>
            </w:r>
          </w:p>
          <w:p>
            <w:pPr>
              <w:spacing w:line="240" w:lineRule="auto"/>
              <w:ind w:firstLine="482" w:firstLineChars="200"/>
              <w:outlineLvl w:val="0"/>
              <w:rPr>
                <w:rFonts w:ascii="宋体" w:hAnsi="宋体" w:eastAsia="宋体"/>
                <w:b/>
                <w:bCs/>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6、</w:t>
            </w:r>
            <w:r>
              <w:rPr>
                <w:rFonts w:ascii="宋体" w:hAnsi="宋体" w:eastAsia="宋体"/>
                <w:b/>
                <w:bCs/>
                <w:color w:val="000000" w:themeColor="text1"/>
                <w:sz w:val="24"/>
                <w14:textFill>
                  <w14:solidFill>
                    <w14:schemeClr w14:val="tx1"/>
                  </w14:solidFill>
                </w14:textFill>
              </w:rPr>
              <w:t>您好，请问贵公司有没有无人机数据平台相关业务？</w:t>
            </w:r>
          </w:p>
          <w:p>
            <w:pPr>
              <w:spacing w:line="240" w:lineRule="auto"/>
              <w:ind w:firstLine="480" w:firstLineChars="200"/>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答：尊敬的投资者您好！公司在做好特定场景无人机具系统应用服务的基础上，以安全保障服务为切入点布局低空经济业务，下属各子公司围绕低空安全底座建设，积极开展针对复杂、特殊场景下无人机感知、反制、应用相关系列服务，全力打造整套具有鲜明辨识度的低空安全服务体系。公司与浙江省公安厅巡特警总队达成战略合作协议，参与全省低空经济安全底座建设，2024年低空安全服务新增合同 60 余份，年合同额超 2000 万元。绍兴安邦“一机一码”无人机感知管控新模式与合作研发的报文识别基站，顺利实现绍兴越城区全域覆盖，并与公安部三所合作建设无人机数据采集实验室；衢州安邦迭代升级“零距离”空地一体作战指挥平台，圆满完成国家“应急使命·2024”超强台风防范和特大洪涝灾害联合救援演习任务；杭州安邦在滨江区开展低空安全管理试点，成功实现区域内飞行服务全覆盖；舟山安邦积极参与舟山地区城市级无人机管控平台建设。感谢您的关注。</w:t>
            </w:r>
          </w:p>
          <w:p>
            <w:pPr>
              <w:spacing w:line="240" w:lineRule="auto"/>
              <w:ind w:firstLine="482" w:firstLineChars="200"/>
              <w:outlineLvl w:val="0"/>
              <w:rPr>
                <w:rFonts w:ascii="宋体" w:hAnsi="宋体" w:eastAsia="宋体"/>
                <w:b/>
                <w:bCs/>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7、</w:t>
            </w:r>
            <w:r>
              <w:rPr>
                <w:rFonts w:ascii="宋体" w:hAnsi="宋体" w:eastAsia="宋体"/>
                <w:b/>
                <w:bCs/>
                <w:color w:val="000000" w:themeColor="text1"/>
                <w:sz w:val="24"/>
                <w14:textFill>
                  <w14:solidFill>
                    <w14:schemeClr w14:val="tx1"/>
                  </w14:solidFill>
                </w14:textFill>
              </w:rPr>
              <w:t>高管您好，请问如何看待安全服务行业未来的发展前景？</w:t>
            </w:r>
          </w:p>
          <w:p>
            <w:pPr>
              <w:spacing w:line="240" w:lineRule="auto"/>
              <w:ind w:firstLine="480" w:firstLineChars="200"/>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答：尊敬的投资者您好！安全服务行业正处于变革时期，市场竞争日益激烈，行业集中度逐渐提升。大型企业凭借技术、资金和品牌优势不断扩大市场份额，推动行业向规模化、集约化方向发展，而中小企业则需要通过差异化竞争寻找生存空间。公司紧跟时代步伐，积极调整发展战略，在行业安全服务产品研发、智能安防平台建设、大数据智能化处理等方面不断加大投入力度，将智能产品与各种安全服务的应用场景相结合，在涉案财物管理、无人机安全服务、应急管理服务、基层治理服务上逐渐做出自己的特色，持续提升公司的核心竞争力。感谢您的关注。</w:t>
            </w:r>
          </w:p>
          <w:p>
            <w:pPr>
              <w:spacing w:line="240" w:lineRule="auto"/>
              <w:ind w:firstLine="482" w:firstLineChars="200"/>
              <w:outlineLvl w:val="0"/>
              <w:rPr>
                <w:rFonts w:ascii="宋体" w:hAnsi="宋体" w:eastAsia="宋体"/>
                <w:b/>
                <w:bCs/>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8、</w:t>
            </w:r>
            <w:r>
              <w:rPr>
                <w:rFonts w:ascii="宋体" w:hAnsi="宋体" w:eastAsia="宋体"/>
                <w:b/>
                <w:bCs/>
                <w:color w:val="000000" w:themeColor="text1"/>
                <w:sz w:val="24"/>
                <w14:textFill>
                  <w14:solidFill>
                    <w14:schemeClr w14:val="tx1"/>
                  </w14:solidFill>
                </w14:textFill>
              </w:rPr>
              <w:t>问：资料显示，公司2024年安全应急服务领域表现突出，具体业务拓展及区域布局成效如何？</w:t>
            </w:r>
          </w:p>
          <w:p>
            <w:pPr>
              <w:spacing w:line="240" w:lineRule="auto"/>
              <w:ind w:firstLine="480" w:firstLineChars="200"/>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答：尊敬的投资者您好！2024年公司安全应急服务强劲增长。宁波安邦等子公司基层社会治理服务稳步发展，集团该项业务已覆盖全省130个乡镇（街道），服务模式成功入选浙江省2024年度省级标准化试点项目。全流程涉案财物管理服务模式已向全国18个省份、100多个城市推广；温州安邦涉案财物一体化管理处置改革得到中央、浙江省政法系统相关领导的高度肯定；应急物资“储、运、救、研、培”一体化服务不断深化，丽水安邦承接浙西南应急救援中心项目，湖州安邦正在建设应急救援训练基地试点项目。感谢您的关注。</w:t>
            </w:r>
          </w:p>
          <w:p>
            <w:pPr>
              <w:spacing w:line="240" w:lineRule="auto"/>
              <w:ind w:firstLine="482" w:firstLineChars="200"/>
              <w:outlineLvl w:val="0"/>
              <w:rPr>
                <w:rFonts w:ascii="宋体" w:hAnsi="宋体" w:eastAsia="宋体"/>
                <w:b/>
                <w:bCs/>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9、</w:t>
            </w:r>
            <w:r>
              <w:rPr>
                <w:rFonts w:ascii="宋体" w:hAnsi="宋体" w:eastAsia="宋体"/>
                <w:b/>
                <w:bCs/>
                <w:color w:val="000000" w:themeColor="text1"/>
                <w:sz w:val="24"/>
                <w14:textFill>
                  <w14:solidFill>
                    <w14:schemeClr w14:val="tx1"/>
                  </w14:solidFill>
                </w14:textFill>
              </w:rPr>
              <w:t>问：公司目前采取了哪些具体策略来实现提质增效的目标？</w:t>
            </w:r>
          </w:p>
          <w:p>
            <w:pPr>
              <w:spacing w:line="240" w:lineRule="auto"/>
              <w:ind w:firstLine="480" w:firstLineChars="200"/>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答：尊敬的投资者您好！公司始终重视内部管理，以精益管理推动企业治理提质增效。2024年，在内部管理效能提升上，公司内审监督职能实现有效突破。通过“巡审联动+专项审计+专项检查”等多种审计检查方式，全年对子公司提出管理建议119条，指导督促问题整改109个，推动健全完善制度43项；加快推动由事后纠错向事前预防转型，风险防控关口不断前移。基于内部管理的强化，公司进一步筑牢安全发展根基，牢牢守住安全发展底线。各项安全生产指标控制良好，安全生产形势稳定向好。截至2024年底，集团50座枪弹库（室）、31座金库安全运营，2748支防暴枪、13.28万发子弹安全使用无事故，未发生重大死亡责任事故，押运车每百万公里有责交通事故数逐年下降，2024年同比下降21%。与此同时，公司内部积极持续推进数字底座二期、业财一体化系统，基本打通数据分析、治理、应用各环节，提高了公司整体的管理效率。感谢您的关注。</w:t>
            </w:r>
          </w:p>
          <w:p>
            <w:pPr>
              <w:spacing w:line="240" w:lineRule="auto"/>
              <w:ind w:firstLine="482" w:firstLineChars="200"/>
              <w:outlineLvl w:val="0"/>
              <w:rPr>
                <w:rFonts w:ascii="宋体" w:hAnsi="宋体" w:eastAsia="宋体"/>
                <w:b/>
                <w:bCs/>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10、</w:t>
            </w:r>
            <w:r>
              <w:rPr>
                <w:rFonts w:ascii="宋体" w:hAnsi="宋体" w:eastAsia="宋体"/>
                <w:b/>
                <w:bCs/>
                <w:color w:val="000000" w:themeColor="text1"/>
                <w:sz w:val="24"/>
                <w14:textFill>
                  <w14:solidFill>
                    <w14:schemeClr w14:val="tx1"/>
                  </w14:solidFill>
                </w14:textFill>
              </w:rPr>
              <w:t>公司近几年营收表现趋势良好，请问主要驱动因素是什么？市场环境复杂多变，接下来公司将如何继续保持？</w:t>
            </w:r>
          </w:p>
          <w:p>
            <w:pPr>
              <w:spacing w:line="240" w:lineRule="auto"/>
              <w:ind w:firstLine="480" w:firstLineChars="200"/>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答：尊敬的投资者您好！2022年-2024年，公司营业收入分别为237,932.97万元、248,489.74万元和265,721.30万元，呈小幅增长态势，其中，押运业务收入分别为143,792.34万元、146,481.03万元和153,476.55万元，占营业收入的比例分别为60.43%、58.95%和57.76%，是公司主要的收入来源，近三年增长平缓。目前公司的押运业务主要集中于浙江省内，在省内的份额超过80%，已开始通过并购在省外进行拓展。近几年来，公司凭借押运业务积累的客户资源、安全管理的行业经验和品牌影响力，在金融外包、综合安防、安全应急等领域不断拓展业务机会。公司新增业务的收入呈现不断增长趋势。未来，公司将继续保持稳健的经营策略，积极拓展市场，提升核心竞争力，以应对各种外部环境变化，确保公司业绩的持续稳定增长。感谢您的关注</w:t>
            </w:r>
            <w:r>
              <w:rPr>
                <w:rFonts w:hint="eastAsia" w:ascii="宋体" w:hAnsi="宋体" w:eastAsia="宋体"/>
                <w:color w:val="000000" w:themeColor="text1"/>
                <w:sz w:val="24"/>
                <w14:textFill>
                  <w14:solidFill>
                    <w14:schemeClr w14:val="tx1"/>
                  </w14:solidFill>
                </w14:textFill>
              </w:rPr>
              <w:t>。</w:t>
            </w:r>
          </w:p>
          <w:p>
            <w:pPr>
              <w:spacing w:line="240" w:lineRule="auto"/>
              <w:ind w:firstLine="482" w:firstLineChars="200"/>
              <w:outlineLvl w:val="0"/>
              <w:rPr>
                <w:rFonts w:ascii="宋体" w:hAnsi="宋体" w:eastAsia="宋体"/>
                <w:b/>
                <w:bCs/>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11、</w:t>
            </w:r>
            <w:r>
              <w:rPr>
                <w:rFonts w:ascii="宋体" w:hAnsi="宋体" w:eastAsia="宋体"/>
                <w:b/>
                <w:bCs/>
                <w:color w:val="000000" w:themeColor="text1"/>
                <w:sz w:val="24"/>
                <w14:textFill>
                  <w14:solidFill>
                    <w14:schemeClr w14:val="tx1"/>
                  </w14:solidFill>
                </w14:textFill>
              </w:rPr>
              <w:t>谢总好，2024年10月29日通过的市值管理制度，请介绍下市值管理实行进展情况和2025年市值管理目标</w:t>
            </w:r>
          </w:p>
          <w:p>
            <w:pPr>
              <w:spacing w:line="240" w:lineRule="auto"/>
              <w:ind w:firstLine="480" w:firstLineChars="200"/>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答：尊敬的投资者您好！公司高度关注国家关于资本市场健康发展的各项举措，在推动自身业绩持续增长的同时，制定切实可行的市值管理目标，与股东及投资者共享公司发展成果，包括但不限于加强投资者关系互动工作、提升现金分红水平等。未来，公司会更加关注市值管理，积极探索合适的市值管理方式，为公司市值的稳定和提升创造有利条件；同时，市值管理是一个长期而持续的过程，我们将始终秉持合法合规、稳健经营的原则，以实现公司价值最大化和股东利益最大化的目标。感谢您的关注。</w:t>
            </w:r>
          </w:p>
          <w:p>
            <w:pPr>
              <w:spacing w:line="240" w:lineRule="auto"/>
              <w:ind w:firstLine="482" w:firstLineChars="200"/>
              <w:outlineLvl w:val="0"/>
              <w:rPr>
                <w:rFonts w:ascii="宋体" w:hAnsi="宋体" w:eastAsia="宋体"/>
                <w:b/>
                <w:bCs/>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12、</w:t>
            </w:r>
            <w:r>
              <w:rPr>
                <w:rFonts w:ascii="宋体" w:hAnsi="宋体" w:eastAsia="宋体"/>
                <w:b/>
                <w:bCs/>
                <w:color w:val="000000" w:themeColor="text1"/>
                <w:sz w:val="24"/>
                <w14:textFill>
                  <w14:solidFill>
                    <w14:schemeClr w14:val="tx1"/>
                  </w14:solidFill>
                </w14:textFill>
              </w:rPr>
              <w:t>请问贵公司未来如何推动集团在低空安防领域的产业化突破与市场竞争力提升？</w:t>
            </w:r>
          </w:p>
          <w:p>
            <w:pPr>
              <w:spacing w:line="240" w:lineRule="auto"/>
              <w:ind w:firstLine="480" w:firstLineChars="200"/>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答：尊敬的投资者您好！2025年，公司将加快融入低空安全服务发展。公司将深度参与全省低空经济“安全底座”建设，争取成为公安机关低空公共安全管理平台研发运维单位，构建“感知、反制、应用、教培”一体化低空安全保障体系，提升基础设施建设、重点场所布防、低空应急救援、民航警航培训等核心业务体量。加强内部协同，通过管理机制变革和数字化支撑，推动子企业资源共享；积极争取深化与浙大、西电、北航、公安部一所、三所等高校、科研院所合作，探索建设低空经济创新联合体，开展核心技术攻关。在通航公司低空消防救援数字化成果基础上，探索建设低空应急队伍，为消防和应急部门提供专业化服务。把握舟山市域低空安全示范区机遇，打造集团低空安防产业标杆。感谢您的关注。</w:t>
            </w:r>
          </w:p>
          <w:p>
            <w:pPr>
              <w:spacing w:line="240" w:lineRule="auto"/>
              <w:ind w:firstLine="482" w:firstLineChars="200"/>
              <w:outlineLvl w:val="0"/>
              <w:rPr>
                <w:rFonts w:ascii="宋体" w:hAnsi="宋体" w:eastAsia="宋体"/>
                <w:b/>
                <w:bCs/>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13、</w:t>
            </w:r>
            <w:r>
              <w:rPr>
                <w:rFonts w:ascii="宋体" w:hAnsi="宋体" w:eastAsia="宋体"/>
                <w:b/>
                <w:bCs/>
                <w:color w:val="000000" w:themeColor="text1"/>
                <w:sz w:val="24"/>
                <w14:textFill>
                  <w14:solidFill>
                    <w14:schemeClr w14:val="tx1"/>
                  </w14:solidFill>
                </w14:textFill>
              </w:rPr>
              <w:t>2025年公司在深化科技创新与产业创新融合方面会有哪些具体措施？</w:t>
            </w:r>
          </w:p>
          <w:p>
            <w:pPr>
              <w:spacing w:line="240" w:lineRule="auto"/>
              <w:ind w:firstLine="480" w:firstLineChars="200"/>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答：尊敬的投资者您好！2025年，公司将强化科技创新和产业创新深度融合，以科技创新推进新质生产力。持续深化与浙江大学等知名高校、科研院所的协同合作，建立市场化创新人才引育机制，健全完善以科技创新为导向的体制机制保障和考核评价体系。继续推进数字底座二期建设，提升数据质量，积极探索业务数字化，数字业务化。感谢您的关注。</w:t>
            </w:r>
          </w:p>
          <w:p>
            <w:pPr>
              <w:spacing w:line="240" w:lineRule="auto"/>
              <w:ind w:firstLine="482" w:firstLineChars="200"/>
              <w:outlineLvl w:val="0"/>
              <w:rPr>
                <w:rFonts w:ascii="宋体" w:hAnsi="宋体" w:eastAsia="宋体"/>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14、</w:t>
            </w:r>
            <w:r>
              <w:rPr>
                <w:rFonts w:ascii="宋体" w:hAnsi="宋体" w:eastAsia="宋体"/>
                <w:b/>
                <w:bCs/>
                <w:color w:val="000000" w:themeColor="text1"/>
                <w:sz w:val="24"/>
                <w14:textFill>
                  <w14:solidFill>
                    <w14:schemeClr w14:val="tx1"/>
                  </w14:solidFill>
                </w14:textFill>
              </w:rPr>
              <w:t>公司2024年在业务拓展与服务优化方面采取了哪些具体措施？</w:t>
            </w:r>
          </w:p>
          <w:p>
            <w:pPr>
              <w:spacing w:line="240" w:lineRule="auto"/>
              <w:ind w:firstLine="480" w:firstLineChars="200"/>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答：尊敬的投资者您好！2024年，公司新拓展早送晚接银行业务网点322个，其中邮政邮储网点增加82个，全省网点押运承接率提升至81.92%；新增尾箱寄库网点531个，新增8家银行现金清分和现金库托管业务；优化整合线路20条，单车承载率平均值提升至7.36个。嘉兴安邦依托“三个中心”建设，网点押运承接率、自助设备承接率、现金清分承接率均达到84%以上。感谢您的关注。</w:t>
            </w:r>
          </w:p>
          <w:p>
            <w:pPr>
              <w:spacing w:line="240" w:lineRule="auto"/>
              <w:ind w:firstLine="482" w:firstLineChars="200"/>
              <w:outlineLvl w:val="0"/>
              <w:rPr>
                <w:rFonts w:ascii="宋体" w:hAnsi="宋体" w:eastAsia="宋体"/>
                <w:b/>
                <w:bCs/>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15、</w:t>
            </w:r>
            <w:r>
              <w:rPr>
                <w:rFonts w:ascii="宋体" w:hAnsi="宋体" w:eastAsia="宋体"/>
                <w:b/>
                <w:bCs/>
                <w:color w:val="000000" w:themeColor="text1"/>
                <w:sz w:val="24"/>
                <w14:textFill>
                  <w14:solidFill>
                    <w14:schemeClr w14:val="tx1"/>
                  </w14:solidFill>
                </w14:textFill>
              </w:rPr>
              <w:t>请问公司未来如何不断提升对外投资效能？</w:t>
            </w:r>
          </w:p>
          <w:p>
            <w:pPr>
              <w:spacing w:line="240" w:lineRule="auto"/>
              <w:ind w:firstLine="480" w:firstLineChars="200"/>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答：尊敬的投资者您好！公司将紧紧围绕集团战略布局，聚焦“存量优化”与“增量突破”双轮驱动。聚焦智能安防、低空安全、应急装备制造等领域，重点筛选省级“专精特新”中小企业，通过技术互补性评估、市场协同度分析寻找合作对象。2025年，要强化投后赋能，推动被投企业与集团在技术研发、客户资源、场景应用等环节深度协同，探索“技术导入+市场共享”模式，加速技术成果产业化。感谢您的关注。</w:t>
            </w:r>
          </w:p>
          <w:p>
            <w:pPr>
              <w:ind w:firstLine="480" w:firstLineChars="200"/>
              <w:rPr>
                <w:rFonts w:hint="eastAsia" w:ascii="宋体" w:hAnsi="宋体" w:eastAsia="宋体" w:cs="宋体"/>
                <w:sz w:val="24"/>
                <w:szCs w:val="24"/>
              </w:rPr>
            </w:pPr>
          </w:p>
          <w:p>
            <w:pPr>
              <w:pStyle w:val="7"/>
              <w:numPr>
                <w:ilvl w:val="0"/>
                <w:numId w:val="0"/>
              </w:num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574" w:type="dxa"/>
            <w:vAlign w:val="top"/>
          </w:tcPr>
          <w:p>
            <w:pPr>
              <w:pStyle w:val="6"/>
              <w:spacing w:before="67" w:line="229" w:lineRule="auto"/>
              <w:ind w:left="318" w:right="301" w:firstLine="12"/>
            </w:pPr>
            <w:r>
              <w:rPr>
                <w:b/>
                <w:bCs/>
                <w:spacing w:val="-9"/>
              </w:rPr>
              <w:t>附件清单</w:t>
            </w:r>
            <w:r>
              <w:rPr>
                <w:spacing w:val="1"/>
              </w:rPr>
              <w:t xml:space="preserve"> </w:t>
            </w:r>
            <w:r>
              <w:rPr>
                <w:b/>
                <w:bCs/>
                <w:spacing w:val="-6"/>
              </w:rPr>
              <w:t>（如有）</w:t>
            </w:r>
          </w:p>
        </w:tc>
        <w:tc>
          <w:tcPr>
            <w:tcW w:w="8450" w:type="dxa"/>
            <w:gridSpan w:val="2"/>
            <w:vAlign w:val="center"/>
          </w:tcPr>
          <w:p>
            <w:pPr>
              <w:pStyle w:val="6"/>
              <w:spacing w:before="144" w:line="220" w:lineRule="auto"/>
              <w:ind w:left="134"/>
              <w:jc w:val="both"/>
            </w:pPr>
            <w:r>
              <w:t>无</w:t>
            </w:r>
          </w:p>
        </w:tc>
      </w:tr>
    </w:tbl>
    <w:p>
      <w:pPr>
        <w:rPr>
          <w:rFonts w:ascii="Arial"/>
          <w:sz w:val="21"/>
        </w:rPr>
      </w:pPr>
    </w:p>
    <w:sectPr>
      <w:pgSz w:w="11907" w:h="16841"/>
      <w:pgMar w:top="1320" w:right="842" w:bottom="0" w:left="103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9F1215"/>
    <w:rsid w:val="0D4D07F9"/>
    <w:rsid w:val="1226243D"/>
    <w:rsid w:val="28E630B9"/>
    <w:rsid w:val="37041A0B"/>
    <w:rsid w:val="3E0B0815"/>
    <w:rsid w:val="50A877FC"/>
    <w:rsid w:val="517B4D82"/>
    <w:rsid w:val="53F71EDB"/>
    <w:rsid w:val="6FB4428E"/>
    <w:rsid w:val="7CA91B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2506</Words>
  <Characters>2557</Characters>
  <TotalTime>3</TotalTime>
  <ScaleCrop>false</ScaleCrop>
  <LinksUpToDate>false</LinksUpToDate>
  <CharactersWithSpaces>2611</CharactersWithSpaces>
  <Application>WPS Office_11.8.2.12251_F1E327BC-269C-435d-A152-05C5408002CA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2024-04-26T17:48:00Z</dcterms:created>
  <dc:creator>xfzj</dc:creator>
  <cp:lastModifiedBy>王艳</cp:lastModifiedBy>
  <dcterms:modified xsi:type="dcterms:W3CDTF">2025-05-26T06:46:14Z</dcterms:modified>
  <dc:title>投资者关系活动记录表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2024-05-31T09:14:46Z</vt:filetime>
  </property>
  <property fmtid="{D5CDD505-2E9C-101B-9397-08002B2CF9AE}" pid="4" name="KSOProductBuildVer">
    <vt:lpwstr>2052-11.8.2.12251</vt:lpwstr>
  </property>
  <property fmtid="{D5CDD505-2E9C-101B-9397-08002B2CF9AE}" pid="5" name="ICV">
    <vt:lpwstr>0C3F047938504E90A8B971DD410C575A</vt:lpwstr>
  </property>
</Properties>
</file>