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6E3C0">
      <w:pPr>
        <w:autoSpaceDE w:val="0"/>
        <w:autoSpaceDN w:val="0"/>
        <w:adjustRightInd w:val="0"/>
        <w:snapToGrid w:val="0"/>
        <w:spacing w:line="288" w:lineRule="auto"/>
        <w:rPr>
          <w:rFonts w:ascii="宋体" w:hAnsi="宋体" w:cs="宋体"/>
          <w:kern w:val="0"/>
          <w:sz w:val="28"/>
          <w:szCs w:val="28"/>
          <w:lang w:val="zh-CN" w:bidi="zh-CN"/>
        </w:rPr>
      </w:pPr>
      <w:r>
        <w:rPr>
          <w:rFonts w:hint="eastAsia" w:ascii="宋体" w:hAnsi="宋体" w:cs="宋体"/>
          <w:kern w:val="0"/>
          <w:sz w:val="28"/>
          <w:szCs w:val="28"/>
          <w:lang w:val="zh-CN" w:bidi="zh-CN"/>
        </w:rPr>
        <w:t>证券代码：603977                         证券简称：国泰集团</w:t>
      </w:r>
    </w:p>
    <w:p w14:paraId="1BFE780E">
      <w:pPr>
        <w:adjustRightInd w:val="0"/>
        <w:snapToGrid w:val="0"/>
        <w:spacing w:before="312" w:beforeLines="100" w:line="480" w:lineRule="exact"/>
        <w:jc w:val="center"/>
        <w:rPr>
          <w:rFonts w:ascii="黑体" w:hAnsi="黑体" w:eastAsia="黑体"/>
          <w:b/>
          <w:bCs/>
          <w:color w:val="FF0000"/>
          <w:sz w:val="32"/>
          <w:szCs w:val="36"/>
        </w:rPr>
      </w:pPr>
      <w:r>
        <w:rPr>
          <w:rFonts w:hint="eastAsia" w:ascii="黑体" w:hAnsi="黑体" w:eastAsia="黑体"/>
          <w:b/>
          <w:bCs/>
          <w:color w:val="FF0000"/>
          <w:sz w:val="32"/>
          <w:szCs w:val="36"/>
        </w:rPr>
        <w:t>江西国泰集团股份有限公司</w:t>
      </w:r>
    </w:p>
    <w:p w14:paraId="53D26FB5">
      <w:pPr>
        <w:adjustRightInd w:val="0"/>
        <w:snapToGrid w:val="0"/>
        <w:spacing w:before="156" w:beforeLines="50" w:after="156" w:afterLines="50" w:line="480" w:lineRule="exact"/>
        <w:jc w:val="center"/>
        <w:rPr>
          <w:rFonts w:ascii="等线" w:hAnsi="等线"/>
          <w:b/>
          <w:bCs/>
          <w:color w:val="FF0000"/>
          <w:sz w:val="32"/>
          <w:szCs w:val="36"/>
        </w:rPr>
      </w:pPr>
      <w:r>
        <w:rPr>
          <w:rFonts w:hint="eastAsia" w:ascii="黑体" w:hAnsi="黑体" w:eastAsia="黑体"/>
          <w:b/>
          <w:bCs/>
          <w:color w:val="FF0000"/>
          <w:sz w:val="32"/>
          <w:szCs w:val="36"/>
        </w:rPr>
        <w:t>投资者关系活动记录表</w:t>
      </w:r>
    </w:p>
    <w:p w14:paraId="581B38A0">
      <w:pPr>
        <w:jc w:val="right"/>
        <w:rPr>
          <w:rFonts w:hint="eastAsia" w:ascii="宋体" w:hAnsi="宋体" w:eastAsia="宋体"/>
          <w:lang w:eastAsia="zh-CN"/>
        </w:rPr>
      </w:pPr>
      <w:r>
        <w:rPr>
          <w:rFonts w:hint="eastAsia" w:ascii="宋体" w:hAnsi="宋体"/>
        </w:rPr>
        <w:t>编号：2025-00</w:t>
      </w:r>
      <w:r>
        <w:rPr>
          <w:rFonts w:hint="eastAsia" w:ascii="宋体" w:hAnsi="宋体"/>
          <w:lang w:val="en-US" w:eastAsia="zh-CN"/>
        </w:rPr>
        <w:t>5</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14:paraId="5985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526" w:type="dxa"/>
            <w:vAlign w:val="center"/>
          </w:tcPr>
          <w:p w14:paraId="2FBFB89B">
            <w:pPr>
              <w:pStyle w:val="25"/>
              <w:keepNext w:val="0"/>
              <w:keepLines w:val="0"/>
              <w:pageBreakBefore w:val="0"/>
              <w:kinsoku/>
              <w:wordWrap/>
              <w:overflowPunct/>
              <w:topLinePunct w:val="0"/>
              <w:autoSpaceDE/>
              <w:autoSpaceDN/>
              <w:bidi w:val="0"/>
              <w:adjustRightInd w:val="0"/>
              <w:snapToGrid w:val="0"/>
              <w:spacing w:line="322" w:lineRule="auto"/>
              <w:rPr>
                <w:b/>
                <w:bCs/>
                <w:iCs/>
                <w:sz w:val="24"/>
              </w:rPr>
            </w:pPr>
            <w:r>
              <w:rPr>
                <w:b/>
                <w:bCs/>
                <w:iCs/>
                <w:sz w:val="24"/>
              </w:rPr>
              <w:t>投资者关系活动类别</w:t>
            </w:r>
          </w:p>
        </w:tc>
        <w:tc>
          <w:tcPr>
            <w:tcW w:w="6996" w:type="dxa"/>
            <w:vAlign w:val="center"/>
          </w:tcPr>
          <w:p w14:paraId="27B2D59F">
            <w:pPr>
              <w:keepNext w:val="0"/>
              <w:keepLines w:val="0"/>
              <w:pageBreakBefore w:val="0"/>
              <w:kinsoku/>
              <w:wordWrap/>
              <w:overflowPunct/>
              <w:topLinePunct w:val="0"/>
              <w:autoSpaceDE/>
              <w:autoSpaceDN/>
              <w:bidi w:val="0"/>
              <w:adjustRightInd w:val="0"/>
              <w:snapToGrid w:val="0"/>
              <w:spacing w:line="322" w:lineRule="auto"/>
              <w:rPr>
                <w:bCs/>
                <w:iCs/>
                <w:sz w:val="24"/>
                <w:szCs w:val="24"/>
              </w:rPr>
            </w:pPr>
            <w:r>
              <w:rPr>
                <w:bCs/>
                <w:iCs/>
                <w:sz w:val="24"/>
                <w:szCs w:val="24"/>
              </w:rPr>
              <w:sym w:font="Wingdings 2" w:char="0052"/>
            </w:r>
            <w:r>
              <w:rPr>
                <w:sz w:val="24"/>
                <w:szCs w:val="24"/>
              </w:rPr>
              <w:t xml:space="preserve">特定对象调研       </w:t>
            </w:r>
            <w:r>
              <w:rPr>
                <w:bCs/>
                <w:iCs/>
                <w:sz w:val="24"/>
                <w:szCs w:val="24"/>
              </w:rPr>
              <w:sym w:font="Wingdings 2" w:char="00A3"/>
            </w:r>
            <w:r>
              <w:rPr>
                <w:sz w:val="24"/>
                <w:szCs w:val="24"/>
              </w:rPr>
              <w:t>分析师会议</w:t>
            </w:r>
          </w:p>
          <w:p w14:paraId="1D2EE9E1">
            <w:pPr>
              <w:pStyle w:val="25"/>
              <w:keepNext w:val="0"/>
              <w:keepLines w:val="0"/>
              <w:pageBreakBefore w:val="0"/>
              <w:kinsoku/>
              <w:wordWrap/>
              <w:overflowPunct/>
              <w:topLinePunct w:val="0"/>
              <w:autoSpaceDE/>
              <w:autoSpaceDN/>
              <w:bidi w:val="0"/>
              <w:adjustRightInd w:val="0"/>
              <w:snapToGrid w:val="0"/>
              <w:spacing w:line="322" w:lineRule="auto"/>
              <w:rPr>
                <w:bCs/>
                <w:iCs/>
                <w:sz w:val="24"/>
              </w:rPr>
            </w:pPr>
            <w:r>
              <w:rPr>
                <w:bCs/>
                <w:iCs/>
                <w:sz w:val="24"/>
              </w:rPr>
              <w:sym w:font="Wingdings 2" w:char="00A3"/>
            </w:r>
            <w:r>
              <w:rPr>
                <w:sz w:val="24"/>
              </w:rPr>
              <w:t xml:space="preserve">媒体采访           </w:t>
            </w:r>
            <w:r>
              <w:rPr>
                <w:bCs/>
                <w:iCs/>
                <w:sz w:val="24"/>
              </w:rPr>
              <w:sym w:font="Wingdings 2" w:char="00A3"/>
            </w:r>
            <w:r>
              <w:rPr>
                <w:sz w:val="24"/>
              </w:rPr>
              <w:t>业绩说明会</w:t>
            </w:r>
          </w:p>
          <w:p w14:paraId="478C16E3">
            <w:pPr>
              <w:pStyle w:val="25"/>
              <w:keepNext w:val="0"/>
              <w:keepLines w:val="0"/>
              <w:pageBreakBefore w:val="0"/>
              <w:kinsoku/>
              <w:wordWrap/>
              <w:overflowPunct/>
              <w:topLinePunct w:val="0"/>
              <w:autoSpaceDE/>
              <w:autoSpaceDN/>
              <w:bidi w:val="0"/>
              <w:adjustRightInd w:val="0"/>
              <w:snapToGrid w:val="0"/>
              <w:spacing w:line="322" w:lineRule="auto"/>
              <w:rPr>
                <w:bCs/>
                <w:iCs/>
                <w:sz w:val="24"/>
              </w:rPr>
            </w:pPr>
            <w:r>
              <w:rPr>
                <w:bCs/>
                <w:iCs/>
                <w:sz w:val="24"/>
              </w:rPr>
              <w:sym w:font="Wingdings 2" w:char="00A3"/>
            </w:r>
            <w:r>
              <w:rPr>
                <w:sz w:val="24"/>
              </w:rPr>
              <w:t xml:space="preserve">新闻发布会         </w:t>
            </w:r>
            <w:r>
              <w:rPr>
                <w:bCs/>
                <w:iCs/>
                <w:sz w:val="24"/>
              </w:rPr>
              <w:sym w:font="Wingdings 2" w:char="00A3"/>
            </w:r>
            <w:r>
              <w:rPr>
                <w:sz w:val="24"/>
              </w:rPr>
              <w:t>路演活动</w:t>
            </w:r>
          </w:p>
          <w:p w14:paraId="66EAD172">
            <w:pPr>
              <w:keepNext w:val="0"/>
              <w:keepLines w:val="0"/>
              <w:pageBreakBefore w:val="0"/>
              <w:kinsoku/>
              <w:wordWrap/>
              <w:overflowPunct/>
              <w:topLinePunct w:val="0"/>
              <w:autoSpaceDE/>
              <w:autoSpaceDN/>
              <w:bidi w:val="0"/>
              <w:adjustRightInd w:val="0"/>
              <w:snapToGrid w:val="0"/>
              <w:spacing w:line="322" w:lineRule="auto"/>
              <w:rPr>
                <w:bCs/>
                <w:iCs/>
                <w:sz w:val="24"/>
                <w:szCs w:val="24"/>
              </w:rPr>
            </w:pPr>
            <w:r>
              <w:rPr>
                <w:sz w:val="24"/>
                <w:szCs w:val="24"/>
              </w:rPr>
              <w:sym w:font="Wingdings 2" w:char="0052"/>
            </w:r>
            <w:r>
              <w:rPr>
                <w:sz w:val="24"/>
                <w:szCs w:val="24"/>
              </w:rPr>
              <w:t>电话会议</w:t>
            </w:r>
          </w:p>
          <w:p w14:paraId="3F9F99B1">
            <w:pPr>
              <w:pStyle w:val="25"/>
              <w:keepNext w:val="0"/>
              <w:keepLines w:val="0"/>
              <w:pageBreakBefore w:val="0"/>
              <w:tabs>
                <w:tab w:val="center" w:pos="3199"/>
              </w:tabs>
              <w:kinsoku/>
              <w:wordWrap/>
              <w:overflowPunct/>
              <w:topLinePunct w:val="0"/>
              <w:autoSpaceDE/>
              <w:autoSpaceDN/>
              <w:bidi w:val="0"/>
              <w:adjustRightInd w:val="0"/>
              <w:snapToGrid w:val="0"/>
              <w:spacing w:line="322" w:lineRule="auto"/>
              <w:rPr>
                <w:bCs/>
                <w:iCs/>
                <w:sz w:val="24"/>
                <w:u w:val="single"/>
              </w:rPr>
            </w:pPr>
            <w:r>
              <w:rPr>
                <w:bCs/>
                <w:iCs/>
                <w:sz w:val="24"/>
              </w:rPr>
              <w:sym w:font="Wingdings 2" w:char="00A3"/>
            </w:r>
            <w:r>
              <w:rPr>
                <w:sz w:val="24"/>
              </w:rPr>
              <w:t>其他</w:t>
            </w:r>
            <w:r>
              <w:rPr>
                <w:rFonts w:hint="eastAsia"/>
                <w:sz w:val="24"/>
                <w:u w:val="single"/>
              </w:rPr>
              <w:t xml:space="preserve">           </w:t>
            </w:r>
          </w:p>
        </w:tc>
      </w:tr>
      <w:tr w14:paraId="627C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526" w:type="dxa"/>
            <w:vAlign w:val="center"/>
          </w:tcPr>
          <w:p w14:paraId="0E25491F">
            <w:pPr>
              <w:pStyle w:val="25"/>
              <w:keepNext w:val="0"/>
              <w:keepLines w:val="0"/>
              <w:pageBreakBefore w:val="0"/>
              <w:kinsoku/>
              <w:wordWrap/>
              <w:overflowPunct/>
              <w:topLinePunct w:val="0"/>
              <w:autoSpaceDE/>
              <w:autoSpaceDN/>
              <w:bidi w:val="0"/>
              <w:adjustRightInd w:val="0"/>
              <w:snapToGrid w:val="0"/>
              <w:spacing w:line="322" w:lineRule="auto"/>
              <w:rPr>
                <w:b/>
                <w:bCs/>
                <w:iCs/>
                <w:sz w:val="24"/>
              </w:rPr>
            </w:pPr>
            <w:r>
              <w:rPr>
                <w:b/>
                <w:bCs/>
                <w:iCs/>
                <w:sz w:val="24"/>
              </w:rPr>
              <w:t>参与单位名称及人员姓名</w:t>
            </w:r>
          </w:p>
        </w:tc>
        <w:tc>
          <w:tcPr>
            <w:tcW w:w="6996" w:type="dxa"/>
            <w:vAlign w:val="center"/>
          </w:tcPr>
          <w:p w14:paraId="1F6D49EF">
            <w:pPr>
              <w:keepNext w:val="0"/>
              <w:keepLines w:val="0"/>
              <w:pageBreakBefore w:val="0"/>
              <w:kinsoku/>
              <w:wordWrap/>
              <w:overflowPunct/>
              <w:topLinePunct w:val="0"/>
              <w:autoSpaceDE/>
              <w:autoSpaceDN/>
              <w:bidi w:val="0"/>
              <w:spacing w:line="322" w:lineRule="auto"/>
              <w:textAlignment w:val="baseline"/>
              <w:rPr>
                <w:rFonts w:ascii="Times New Roman" w:hAnsi="Times New Roman"/>
                <w:sz w:val="24"/>
                <w:szCs w:val="24"/>
              </w:rPr>
            </w:pPr>
            <w:r>
              <w:rPr>
                <w:rFonts w:hint="eastAsia" w:ascii="Times New Roman" w:hAnsi="Times New Roman"/>
                <w:sz w:val="24"/>
                <w:szCs w:val="24"/>
              </w:rPr>
              <w:t>南方基金 任  婧</w:t>
            </w:r>
          </w:p>
          <w:p w14:paraId="21D6283C">
            <w:pPr>
              <w:keepNext w:val="0"/>
              <w:keepLines w:val="0"/>
              <w:pageBreakBefore w:val="0"/>
              <w:kinsoku/>
              <w:wordWrap/>
              <w:overflowPunct/>
              <w:topLinePunct w:val="0"/>
              <w:autoSpaceDE/>
              <w:autoSpaceDN/>
              <w:bidi w:val="0"/>
              <w:spacing w:line="322" w:lineRule="auto"/>
              <w:textAlignment w:val="baseline"/>
              <w:rPr>
                <w:rFonts w:ascii="Times New Roman" w:hAnsi="Times New Roman"/>
                <w:sz w:val="24"/>
                <w:szCs w:val="24"/>
              </w:rPr>
            </w:pPr>
            <w:r>
              <w:rPr>
                <w:rFonts w:hint="eastAsia" w:ascii="Times New Roman" w:hAnsi="Times New Roman"/>
                <w:sz w:val="24"/>
                <w:szCs w:val="24"/>
              </w:rPr>
              <w:t>华创能源 陈俊新</w:t>
            </w:r>
          </w:p>
          <w:p w14:paraId="18E1384D">
            <w:pPr>
              <w:keepNext w:val="0"/>
              <w:keepLines w:val="0"/>
              <w:pageBreakBefore w:val="0"/>
              <w:kinsoku/>
              <w:wordWrap/>
              <w:overflowPunct/>
              <w:topLinePunct w:val="0"/>
              <w:autoSpaceDE/>
              <w:autoSpaceDN/>
              <w:bidi w:val="0"/>
              <w:spacing w:line="322" w:lineRule="auto"/>
              <w:textAlignment w:val="baseline"/>
              <w:rPr>
                <w:rFonts w:ascii="Times New Roman" w:hAnsi="Times New Roman"/>
                <w:sz w:val="24"/>
                <w:szCs w:val="24"/>
              </w:rPr>
            </w:pPr>
            <w:r>
              <w:rPr>
                <w:rFonts w:hint="eastAsia" w:ascii="Times New Roman" w:hAnsi="Times New Roman"/>
                <w:sz w:val="24"/>
                <w:szCs w:val="24"/>
              </w:rPr>
              <w:t>大筝资管 徐海涛</w:t>
            </w:r>
          </w:p>
          <w:p w14:paraId="38DAF419">
            <w:pPr>
              <w:keepNext w:val="0"/>
              <w:keepLines w:val="0"/>
              <w:pageBreakBefore w:val="0"/>
              <w:kinsoku/>
              <w:wordWrap/>
              <w:overflowPunct/>
              <w:topLinePunct w:val="0"/>
              <w:autoSpaceDE/>
              <w:autoSpaceDN/>
              <w:bidi w:val="0"/>
              <w:spacing w:line="322" w:lineRule="auto"/>
              <w:textAlignment w:val="baseline"/>
              <w:rPr>
                <w:rFonts w:ascii="Times New Roman" w:hAnsi="Times New Roman"/>
                <w:sz w:val="24"/>
                <w:szCs w:val="24"/>
              </w:rPr>
            </w:pPr>
            <w:r>
              <w:rPr>
                <w:rFonts w:hint="eastAsia" w:ascii="Times New Roman" w:hAnsi="Times New Roman"/>
                <w:sz w:val="24"/>
                <w:szCs w:val="24"/>
              </w:rPr>
              <w:t>敦和资管 陈俊源</w:t>
            </w:r>
          </w:p>
          <w:p w14:paraId="76FD9066">
            <w:pPr>
              <w:keepNext w:val="0"/>
              <w:keepLines w:val="0"/>
              <w:pageBreakBefore w:val="0"/>
              <w:kinsoku/>
              <w:wordWrap/>
              <w:overflowPunct/>
              <w:topLinePunct w:val="0"/>
              <w:autoSpaceDE/>
              <w:autoSpaceDN/>
              <w:bidi w:val="0"/>
              <w:spacing w:line="322" w:lineRule="auto"/>
              <w:textAlignment w:val="baseline"/>
              <w:rPr>
                <w:rFonts w:hint="eastAsia" w:ascii="Times New Roman" w:hAnsi="Times New Roman" w:eastAsia="宋体"/>
                <w:sz w:val="24"/>
                <w:szCs w:val="24"/>
                <w:lang w:eastAsia="zh-CN"/>
              </w:rPr>
            </w:pPr>
            <w:r>
              <w:rPr>
                <w:rFonts w:hint="eastAsia" w:ascii="Times New Roman" w:hAnsi="Times New Roman"/>
                <w:sz w:val="24"/>
                <w:szCs w:val="24"/>
              </w:rPr>
              <w:t>华源证券 郭玉</w:t>
            </w:r>
            <w:r>
              <w:rPr>
                <w:rFonts w:hint="eastAsia" w:ascii="Times New Roman" w:hAnsi="Times New Roman"/>
                <w:sz w:val="24"/>
                <w:szCs w:val="24"/>
                <w:lang w:val="en-US" w:eastAsia="zh-CN"/>
              </w:rPr>
              <w:t>明</w:t>
            </w:r>
          </w:p>
          <w:p w14:paraId="6A6E4C36">
            <w:pPr>
              <w:keepNext w:val="0"/>
              <w:keepLines w:val="0"/>
              <w:pageBreakBefore w:val="0"/>
              <w:kinsoku/>
              <w:wordWrap/>
              <w:overflowPunct/>
              <w:topLinePunct w:val="0"/>
              <w:autoSpaceDE/>
              <w:autoSpaceDN/>
              <w:bidi w:val="0"/>
              <w:spacing w:line="322" w:lineRule="auto"/>
              <w:textAlignment w:val="baseline"/>
              <w:rPr>
                <w:rFonts w:ascii="Times New Roman" w:hAnsi="Times New Roman"/>
                <w:sz w:val="24"/>
                <w:szCs w:val="24"/>
              </w:rPr>
            </w:pPr>
            <w:r>
              <w:rPr>
                <w:rFonts w:hint="eastAsia" w:ascii="Times New Roman" w:hAnsi="Times New Roman"/>
                <w:sz w:val="24"/>
                <w:szCs w:val="24"/>
              </w:rPr>
              <w:t>中信建投证券 雷  皓</w:t>
            </w:r>
          </w:p>
          <w:p w14:paraId="1199D838">
            <w:pPr>
              <w:keepNext w:val="0"/>
              <w:keepLines w:val="0"/>
              <w:pageBreakBefore w:val="0"/>
              <w:kinsoku/>
              <w:wordWrap/>
              <w:overflowPunct/>
              <w:topLinePunct w:val="0"/>
              <w:autoSpaceDE/>
              <w:autoSpaceDN/>
              <w:bidi w:val="0"/>
              <w:spacing w:line="322" w:lineRule="auto"/>
              <w:textAlignment w:val="baseline"/>
              <w:rPr>
                <w:rFonts w:ascii="Times New Roman" w:hAnsi="Times New Roman"/>
                <w:sz w:val="24"/>
                <w:szCs w:val="24"/>
              </w:rPr>
            </w:pPr>
            <w:r>
              <w:rPr>
                <w:rFonts w:hint="eastAsia" w:ascii="Times New Roman" w:hAnsi="Times New Roman"/>
                <w:sz w:val="24"/>
                <w:szCs w:val="24"/>
              </w:rPr>
              <w:t>华泰证券</w:t>
            </w:r>
            <w:r>
              <w:rPr>
                <w:rFonts w:ascii="Times New Roman" w:hAnsi="Times New Roman"/>
                <w:sz w:val="24"/>
                <w:szCs w:val="24"/>
              </w:rPr>
              <w:t xml:space="preserve"> </w:t>
            </w:r>
            <w:r>
              <w:rPr>
                <w:rFonts w:hint="eastAsia" w:ascii="Times New Roman" w:hAnsi="Times New Roman"/>
                <w:sz w:val="24"/>
                <w:szCs w:val="24"/>
              </w:rPr>
              <w:t>王  兴 田莫充</w:t>
            </w:r>
          </w:p>
          <w:p w14:paraId="156EDD28">
            <w:pPr>
              <w:keepNext w:val="0"/>
              <w:keepLines w:val="0"/>
              <w:pageBreakBefore w:val="0"/>
              <w:kinsoku/>
              <w:wordWrap/>
              <w:overflowPunct/>
              <w:topLinePunct w:val="0"/>
              <w:autoSpaceDE/>
              <w:autoSpaceDN/>
              <w:bidi w:val="0"/>
              <w:spacing w:line="322" w:lineRule="auto"/>
              <w:textAlignment w:val="baseline"/>
              <w:rPr>
                <w:rFonts w:ascii="Times New Roman" w:hAnsi="Times New Roman"/>
                <w:sz w:val="24"/>
                <w:szCs w:val="24"/>
              </w:rPr>
            </w:pPr>
            <w:r>
              <w:rPr>
                <w:rFonts w:hint="eastAsia" w:ascii="Times New Roman" w:hAnsi="Times New Roman"/>
                <w:sz w:val="24"/>
                <w:szCs w:val="24"/>
              </w:rPr>
              <w:t>国联民生证券 叶  鑫</w:t>
            </w:r>
          </w:p>
          <w:p w14:paraId="3052F18A">
            <w:pPr>
              <w:keepNext w:val="0"/>
              <w:keepLines w:val="0"/>
              <w:pageBreakBefore w:val="0"/>
              <w:kinsoku/>
              <w:wordWrap/>
              <w:overflowPunct/>
              <w:topLinePunct w:val="0"/>
              <w:autoSpaceDE/>
              <w:autoSpaceDN/>
              <w:bidi w:val="0"/>
              <w:spacing w:line="322" w:lineRule="auto"/>
              <w:textAlignment w:val="baseline"/>
              <w:rPr>
                <w:rFonts w:ascii="Times New Roman" w:hAnsi="Times New Roman"/>
                <w:sz w:val="24"/>
                <w:szCs w:val="24"/>
              </w:rPr>
            </w:pPr>
            <w:r>
              <w:rPr>
                <w:rFonts w:hint="eastAsia" w:ascii="Times New Roman" w:hAnsi="Times New Roman"/>
                <w:sz w:val="24"/>
                <w:szCs w:val="24"/>
              </w:rPr>
              <w:t>西部证券 李雨泉</w:t>
            </w:r>
          </w:p>
        </w:tc>
      </w:tr>
      <w:tr w14:paraId="3F79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6" w:type="dxa"/>
            <w:vAlign w:val="center"/>
          </w:tcPr>
          <w:p w14:paraId="7FF0A426">
            <w:pPr>
              <w:pStyle w:val="25"/>
              <w:keepNext w:val="0"/>
              <w:keepLines w:val="0"/>
              <w:pageBreakBefore w:val="0"/>
              <w:kinsoku/>
              <w:wordWrap/>
              <w:overflowPunct/>
              <w:topLinePunct w:val="0"/>
              <w:autoSpaceDE/>
              <w:autoSpaceDN/>
              <w:bidi w:val="0"/>
              <w:spacing w:line="322" w:lineRule="auto"/>
              <w:rPr>
                <w:rFonts w:ascii="Times New Roman" w:hAnsi="Times New Roman"/>
                <w:b/>
                <w:bCs/>
                <w:iCs/>
                <w:sz w:val="24"/>
              </w:rPr>
            </w:pPr>
            <w:r>
              <w:rPr>
                <w:rFonts w:ascii="Times New Roman" w:hAnsi="Times New Roman"/>
                <w:b/>
                <w:bCs/>
                <w:iCs/>
                <w:sz w:val="24"/>
              </w:rPr>
              <w:t>时间</w:t>
            </w:r>
          </w:p>
        </w:tc>
        <w:tc>
          <w:tcPr>
            <w:tcW w:w="6996" w:type="dxa"/>
            <w:vAlign w:val="center"/>
          </w:tcPr>
          <w:p w14:paraId="340A4CCB">
            <w:pPr>
              <w:pStyle w:val="25"/>
              <w:keepNext w:val="0"/>
              <w:keepLines w:val="0"/>
              <w:pageBreakBefore w:val="0"/>
              <w:kinsoku/>
              <w:wordWrap/>
              <w:overflowPunct/>
              <w:topLinePunct w:val="0"/>
              <w:autoSpaceDE/>
              <w:autoSpaceDN/>
              <w:bidi w:val="0"/>
              <w:spacing w:line="322" w:lineRule="auto"/>
              <w:rPr>
                <w:rFonts w:ascii="Times New Roman" w:hAnsi="Times New Roman"/>
                <w:iCs/>
                <w:sz w:val="24"/>
              </w:rPr>
            </w:pPr>
            <w:r>
              <w:rPr>
                <w:rFonts w:hint="eastAsia" w:ascii="Times New Roman" w:hAnsi="Times New Roman"/>
                <w:iCs/>
                <w:sz w:val="24"/>
              </w:rPr>
              <w:t>2025年5月</w:t>
            </w:r>
          </w:p>
        </w:tc>
      </w:tr>
      <w:tr w14:paraId="69A4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4FA6DA8B">
            <w:pPr>
              <w:pStyle w:val="25"/>
              <w:keepNext w:val="0"/>
              <w:keepLines w:val="0"/>
              <w:pageBreakBefore w:val="0"/>
              <w:kinsoku/>
              <w:wordWrap/>
              <w:overflowPunct/>
              <w:topLinePunct w:val="0"/>
              <w:autoSpaceDE/>
              <w:autoSpaceDN/>
              <w:bidi w:val="0"/>
              <w:spacing w:line="322" w:lineRule="auto"/>
              <w:rPr>
                <w:rFonts w:ascii="Times New Roman" w:hAnsi="Times New Roman"/>
                <w:b/>
                <w:bCs/>
                <w:iCs/>
                <w:sz w:val="24"/>
              </w:rPr>
            </w:pPr>
            <w:r>
              <w:rPr>
                <w:rFonts w:ascii="Times New Roman" w:hAnsi="Times New Roman"/>
                <w:b/>
                <w:bCs/>
                <w:iCs/>
                <w:sz w:val="24"/>
              </w:rPr>
              <w:t>地点</w:t>
            </w:r>
          </w:p>
        </w:tc>
        <w:tc>
          <w:tcPr>
            <w:tcW w:w="6996" w:type="dxa"/>
            <w:vAlign w:val="center"/>
          </w:tcPr>
          <w:p w14:paraId="54081CE4">
            <w:pPr>
              <w:pStyle w:val="25"/>
              <w:keepNext w:val="0"/>
              <w:keepLines w:val="0"/>
              <w:pageBreakBefore w:val="0"/>
              <w:kinsoku/>
              <w:wordWrap/>
              <w:overflowPunct/>
              <w:topLinePunct w:val="0"/>
              <w:autoSpaceDE/>
              <w:autoSpaceDN/>
              <w:bidi w:val="0"/>
              <w:spacing w:line="322" w:lineRule="auto"/>
              <w:rPr>
                <w:rFonts w:ascii="Times New Roman" w:hAnsi="Times New Roman"/>
                <w:iCs/>
                <w:sz w:val="24"/>
              </w:rPr>
            </w:pPr>
            <w:r>
              <w:rPr>
                <w:rFonts w:hint="eastAsia" w:ascii="Times New Roman" w:hAnsi="Times New Roman"/>
                <w:iCs/>
                <w:sz w:val="24"/>
              </w:rPr>
              <w:t>江西省南昌市高新开发区高新大道699号国泰集团会议室</w:t>
            </w:r>
          </w:p>
        </w:tc>
      </w:tr>
      <w:tr w14:paraId="52A9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26" w:type="dxa"/>
            <w:vAlign w:val="center"/>
          </w:tcPr>
          <w:p w14:paraId="785888F6">
            <w:pPr>
              <w:pStyle w:val="25"/>
              <w:keepNext w:val="0"/>
              <w:keepLines w:val="0"/>
              <w:pageBreakBefore w:val="0"/>
              <w:kinsoku/>
              <w:wordWrap/>
              <w:overflowPunct/>
              <w:topLinePunct w:val="0"/>
              <w:autoSpaceDE/>
              <w:autoSpaceDN/>
              <w:bidi w:val="0"/>
              <w:spacing w:line="322" w:lineRule="auto"/>
              <w:rPr>
                <w:rFonts w:ascii="Times New Roman" w:hAnsi="Times New Roman"/>
                <w:b/>
                <w:bCs/>
                <w:iCs/>
                <w:sz w:val="24"/>
              </w:rPr>
            </w:pPr>
            <w:r>
              <w:rPr>
                <w:rFonts w:ascii="Times New Roman" w:hAnsi="Times New Roman"/>
                <w:b/>
                <w:bCs/>
                <w:iCs/>
                <w:sz w:val="24"/>
              </w:rPr>
              <w:t>上市公司接待人员姓名</w:t>
            </w:r>
          </w:p>
        </w:tc>
        <w:tc>
          <w:tcPr>
            <w:tcW w:w="6996" w:type="dxa"/>
            <w:vAlign w:val="center"/>
          </w:tcPr>
          <w:p w14:paraId="7BD3907A">
            <w:pPr>
              <w:keepNext w:val="0"/>
              <w:keepLines w:val="0"/>
              <w:pageBreakBefore w:val="0"/>
              <w:kinsoku/>
              <w:wordWrap/>
              <w:overflowPunct/>
              <w:topLinePunct w:val="0"/>
              <w:autoSpaceDE/>
              <w:autoSpaceDN/>
              <w:bidi w:val="0"/>
              <w:adjustRightInd w:val="0"/>
              <w:snapToGrid w:val="0"/>
              <w:spacing w:line="322" w:lineRule="auto"/>
              <w:rPr>
                <w:rFonts w:ascii="Times New Roman" w:hAnsi="Times New Roman"/>
                <w:sz w:val="24"/>
                <w:szCs w:val="24"/>
              </w:rPr>
            </w:pPr>
            <w:r>
              <w:rPr>
                <w:rFonts w:hint="eastAsia" w:ascii="Times New Roman" w:hAnsi="Times New Roman"/>
                <w:sz w:val="24"/>
                <w:szCs w:val="24"/>
              </w:rPr>
              <w:t xml:space="preserve">董事会秘书 何骥 </w:t>
            </w:r>
          </w:p>
        </w:tc>
      </w:tr>
      <w:tr w14:paraId="0127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26" w:type="dxa"/>
            <w:vAlign w:val="center"/>
          </w:tcPr>
          <w:p w14:paraId="6DF7EBE0">
            <w:pPr>
              <w:pStyle w:val="25"/>
              <w:keepNext w:val="0"/>
              <w:keepLines w:val="0"/>
              <w:pageBreakBefore w:val="0"/>
              <w:kinsoku/>
              <w:wordWrap/>
              <w:overflowPunct/>
              <w:topLinePunct w:val="0"/>
              <w:autoSpaceDE/>
              <w:autoSpaceDN/>
              <w:bidi w:val="0"/>
              <w:adjustRightInd w:val="0"/>
              <w:snapToGrid w:val="0"/>
              <w:spacing w:line="322" w:lineRule="auto"/>
              <w:rPr>
                <w:b/>
                <w:bCs/>
                <w:iCs/>
                <w:sz w:val="24"/>
              </w:rPr>
            </w:pPr>
            <w:r>
              <w:rPr>
                <w:rFonts w:hint="eastAsia"/>
                <w:b/>
                <w:bCs/>
                <w:iCs/>
                <w:sz w:val="24"/>
              </w:rPr>
              <w:t>投资者关系活动主要内容介绍</w:t>
            </w:r>
          </w:p>
        </w:tc>
        <w:tc>
          <w:tcPr>
            <w:tcW w:w="6996" w:type="dxa"/>
          </w:tcPr>
          <w:p w14:paraId="659160BC">
            <w:pPr>
              <w:keepNext w:val="0"/>
              <w:keepLines w:val="0"/>
              <w:pageBreakBefore w:val="0"/>
              <w:kinsoku/>
              <w:wordWrap/>
              <w:overflowPunct/>
              <w:topLinePunct w:val="0"/>
              <w:autoSpaceDE/>
              <w:autoSpaceDN/>
              <w:bidi w:val="0"/>
              <w:adjustRightInd w:val="0"/>
              <w:snapToGrid w:val="0"/>
              <w:spacing w:line="322" w:lineRule="auto"/>
              <w:ind w:firstLine="480" w:firstLineChars="200"/>
              <w:rPr>
                <w:rFonts w:ascii="宋体" w:hAnsi="宋体" w:cs="宋体"/>
                <w:sz w:val="24"/>
                <w:szCs w:val="24"/>
              </w:rPr>
            </w:pPr>
            <w:r>
              <w:rPr>
                <w:rFonts w:hint="eastAsia" w:ascii="宋体" w:hAnsi="宋体" w:cs="宋体"/>
                <w:sz w:val="24"/>
                <w:szCs w:val="24"/>
              </w:rPr>
              <w:t>首先向投资者简要介绍公司近期经营状况，民爆业务、军工新材料业务情况，随后针对投资者关心的重点问题作了具体交流如下：</w:t>
            </w:r>
          </w:p>
          <w:p w14:paraId="14394EF1">
            <w:pPr>
              <w:keepNext w:val="0"/>
              <w:keepLines w:val="0"/>
              <w:pageBreakBefore w:val="0"/>
              <w:kinsoku/>
              <w:wordWrap/>
              <w:overflowPunct/>
              <w:topLinePunct w:val="0"/>
              <w:autoSpaceDE/>
              <w:autoSpaceDN/>
              <w:bidi w:val="0"/>
              <w:adjustRightInd w:val="0"/>
              <w:snapToGrid w:val="0"/>
              <w:spacing w:line="32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1、简要介绍下公司所处民爆行业近期运行情况</w:t>
            </w:r>
            <w:r>
              <w:rPr>
                <w:rFonts w:hint="eastAsia" w:ascii="宋体" w:hAnsi="宋体" w:cs="宋体"/>
                <w:sz w:val="24"/>
                <w:szCs w:val="24"/>
                <w:lang w:eastAsia="zh-CN"/>
              </w:rPr>
              <w:t>？</w:t>
            </w:r>
          </w:p>
          <w:p w14:paraId="58DA8641">
            <w:pPr>
              <w:keepNext w:val="0"/>
              <w:keepLines w:val="0"/>
              <w:pageBreakBefore w:val="0"/>
              <w:kinsoku/>
              <w:wordWrap/>
              <w:overflowPunct/>
              <w:topLinePunct w:val="0"/>
              <w:autoSpaceDE/>
              <w:autoSpaceDN/>
              <w:bidi w:val="0"/>
              <w:adjustRightInd w:val="0"/>
              <w:snapToGrid w:val="0"/>
              <w:spacing w:line="322" w:lineRule="auto"/>
              <w:ind w:firstLine="480" w:firstLineChars="200"/>
              <w:rPr>
                <w:rFonts w:ascii="宋体" w:hAnsi="宋体" w:cs="宋体"/>
                <w:sz w:val="24"/>
                <w:szCs w:val="24"/>
              </w:rPr>
            </w:pPr>
            <w:r>
              <w:rPr>
                <w:rFonts w:hint="eastAsia" w:ascii="宋体" w:hAnsi="宋体" w:cs="宋体"/>
                <w:sz w:val="24"/>
                <w:szCs w:val="24"/>
              </w:rPr>
              <w:t>答：2025年4月国内民爆行业总体运行情况稳中向好，市场需求回暖，炸药产量回升，但企业利润增幅进一步收窄。</w:t>
            </w:r>
          </w:p>
          <w:p w14:paraId="47181CA7">
            <w:pPr>
              <w:keepNext w:val="0"/>
              <w:keepLines w:val="0"/>
              <w:pageBreakBefore w:val="0"/>
              <w:kinsoku/>
              <w:wordWrap/>
              <w:overflowPunct/>
              <w:topLinePunct w:val="0"/>
              <w:autoSpaceDE/>
              <w:autoSpaceDN/>
              <w:bidi w:val="0"/>
              <w:adjustRightInd w:val="0"/>
              <w:snapToGrid w:val="0"/>
              <w:spacing w:line="322" w:lineRule="auto"/>
              <w:ind w:firstLine="480" w:firstLineChars="200"/>
              <w:rPr>
                <w:rFonts w:ascii="宋体" w:hAnsi="宋体" w:cs="宋体"/>
                <w:sz w:val="24"/>
                <w:szCs w:val="24"/>
              </w:rPr>
            </w:pPr>
            <w:r>
              <w:rPr>
                <w:rFonts w:hint="eastAsia" w:ascii="宋体" w:hAnsi="宋体" w:cs="宋体"/>
                <w:sz w:val="24"/>
                <w:szCs w:val="24"/>
              </w:rPr>
              <w:t>1-4月，民爆生产企业累计完成生产、销售总值分别为118.29亿元和115.39亿元，同比分别下降1.72%和0.71%；累计实现主营业务收入122.44亿元，同比下降0.96%；累计实现利税总额29.12亿元，同比增长1.2%；累计实现利润总额22.19亿元，同比增长4.22%；累计实现爆破服务收入105.56亿元，同比增长22.58%。</w:t>
            </w:r>
          </w:p>
          <w:p w14:paraId="3D32945D">
            <w:pPr>
              <w:keepNext w:val="0"/>
              <w:keepLines w:val="0"/>
              <w:pageBreakBefore w:val="0"/>
              <w:kinsoku/>
              <w:wordWrap/>
              <w:overflowPunct/>
              <w:topLinePunct w:val="0"/>
              <w:autoSpaceDE/>
              <w:autoSpaceDN/>
              <w:bidi w:val="0"/>
              <w:adjustRightInd w:val="0"/>
              <w:snapToGrid w:val="0"/>
              <w:spacing w:line="322"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4月份，民爆生产企业实现主营业务收入38.85亿元，同比下降1.76%；实现利税总额11.15亿元，同比下降14.53%；实现利润总额9.06亿元，同比下降15.99%；实现爆破服务收入33.16亿元，同比增长2.63%。</w:t>
            </w:r>
          </w:p>
          <w:p w14:paraId="1CB40CAA">
            <w:pPr>
              <w:keepNext w:val="0"/>
              <w:keepLines w:val="0"/>
              <w:pageBreakBefore w:val="0"/>
              <w:kinsoku/>
              <w:wordWrap/>
              <w:overflowPunct/>
              <w:topLinePunct w:val="0"/>
              <w:autoSpaceDE/>
              <w:autoSpaceDN/>
              <w:bidi w:val="0"/>
              <w:adjustRightInd w:val="0"/>
              <w:snapToGrid w:val="0"/>
              <w:spacing w:line="322"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公司1-4月民爆一体化产业收入、利润稳中有增，优于全国民爆行业平均水平。</w:t>
            </w:r>
          </w:p>
          <w:p w14:paraId="53B93935">
            <w:pPr>
              <w:keepNext w:val="0"/>
              <w:keepLines w:val="0"/>
              <w:pageBreakBefore w:val="0"/>
              <w:kinsoku/>
              <w:wordWrap/>
              <w:overflowPunct/>
              <w:topLinePunct w:val="0"/>
              <w:autoSpaceDE/>
              <w:autoSpaceDN/>
              <w:bidi w:val="0"/>
              <w:adjustRightInd w:val="0"/>
              <w:snapToGrid w:val="0"/>
              <w:spacing w:line="322" w:lineRule="auto"/>
              <w:ind w:firstLine="480" w:firstLineChars="200"/>
              <w:rPr>
                <w:rFonts w:hint="default" w:ascii="宋体" w:hAnsi="宋体" w:cs="宋体"/>
                <w:sz w:val="24"/>
                <w:szCs w:val="24"/>
                <w:lang w:val="en-US" w:eastAsia="zh-CN"/>
              </w:rPr>
            </w:pPr>
          </w:p>
          <w:p w14:paraId="463EEE2E">
            <w:pPr>
              <w:keepNext w:val="0"/>
              <w:keepLines w:val="0"/>
              <w:pageBreakBefore w:val="0"/>
              <w:kinsoku/>
              <w:wordWrap/>
              <w:overflowPunct/>
              <w:topLinePunct w:val="0"/>
              <w:autoSpaceDE/>
              <w:autoSpaceDN/>
              <w:bidi w:val="0"/>
              <w:adjustRightInd w:val="0"/>
              <w:snapToGrid w:val="0"/>
              <w:spacing w:line="322" w:lineRule="auto"/>
              <w:ind w:firstLine="480" w:firstLineChars="200"/>
              <w:rPr>
                <w:rFonts w:ascii="宋体" w:hAnsi="宋体" w:cs="宋体"/>
                <w:sz w:val="24"/>
                <w:szCs w:val="24"/>
              </w:rPr>
            </w:pPr>
            <w:r>
              <w:rPr>
                <w:rFonts w:hint="eastAsia" w:ascii="宋体" w:hAnsi="宋体" w:cs="宋体"/>
                <w:sz w:val="24"/>
                <w:szCs w:val="24"/>
              </w:rPr>
              <w:t>2、目前民爆行业政策进一步推动重组整合，公司是否有相关计划？</w:t>
            </w:r>
          </w:p>
          <w:p w14:paraId="3CAB62B8">
            <w:pPr>
              <w:keepNext w:val="0"/>
              <w:keepLines w:val="0"/>
              <w:pageBreakBefore w:val="0"/>
              <w:kinsoku/>
              <w:wordWrap/>
              <w:overflowPunct/>
              <w:topLinePunct w:val="0"/>
              <w:autoSpaceDE/>
              <w:autoSpaceDN/>
              <w:bidi w:val="0"/>
              <w:adjustRightInd w:val="0"/>
              <w:snapToGrid w:val="0"/>
              <w:spacing w:line="322" w:lineRule="auto"/>
              <w:ind w:firstLine="480" w:firstLineChars="200"/>
              <w:rPr>
                <w:rFonts w:ascii="宋体" w:hAnsi="宋体" w:cs="宋体"/>
                <w:sz w:val="24"/>
                <w:szCs w:val="24"/>
              </w:rPr>
            </w:pPr>
            <w:r>
              <w:rPr>
                <w:rFonts w:hint="eastAsia" w:ascii="宋体" w:hAnsi="宋体" w:cs="宋体"/>
                <w:sz w:val="24"/>
                <w:szCs w:val="24"/>
              </w:rPr>
              <w:t>答：民爆一体化产业作为公司基本盘，近年来公司一直顺应民爆行业发展趋势和政策导向，积极关注民爆行业的重组整合动态及潜在机会，持续做强做优做大。公司已将实现民爆产能适度扩张列入</w:t>
            </w:r>
            <w:r>
              <w:rPr>
                <w:rFonts w:hint="eastAsia" w:ascii="宋体" w:hAnsi="宋体" w:cs="宋体"/>
                <w:sz w:val="24"/>
                <w:szCs w:val="24"/>
                <w:lang w:val="en-US" w:eastAsia="zh-CN"/>
              </w:rPr>
              <w:t>今年</w:t>
            </w:r>
            <w:r>
              <w:rPr>
                <w:rFonts w:hint="eastAsia" w:ascii="宋体" w:hAnsi="宋体" w:cs="宋体"/>
                <w:sz w:val="24"/>
                <w:szCs w:val="24"/>
              </w:rPr>
              <w:t>重点工作，目前已组建专班对相关项目积极调研、洽谈，推动相关工作。</w:t>
            </w:r>
          </w:p>
          <w:p w14:paraId="4316392A">
            <w:pPr>
              <w:keepNext w:val="0"/>
              <w:keepLines w:val="0"/>
              <w:pageBreakBefore w:val="0"/>
              <w:widowControl/>
              <w:kinsoku/>
              <w:wordWrap/>
              <w:overflowPunct/>
              <w:topLinePunct w:val="0"/>
              <w:autoSpaceDE/>
              <w:autoSpaceDN/>
              <w:bidi w:val="0"/>
              <w:adjustRightInd w:val="0"/>
              <w:snapToGrid w:val="0"/>
              <w:spacing w:line="322" w:lineRule="auto"/>
              <w:ind w:firstLine="480" w:firstLineChars="200"/>
              <w:rPr>
                <w:rFonts w:ascii="宋体" w:hAnsi="宋体" w:cs="宋体"/>
                <w:sz w:val="24"/>
                <w:szCs w:val="24"/>
              </w:rPr>
            </w:pPr>
          </w:p>
          <w:p w14:paraId="62E874EE">
            <w:pPr>
              <w:keepNext w:val="0"/>
              <w:keepLines w:val="0"/>
              <w:pageBreakBefore w:val="0"/>
              <w:widowControl/>
              <w:kinsoku/>
              <w:wordWrap/>
              <w:overflowPunct/>
              <w:topLinePunct w:val="0"/>
              <w:autoSpaceDE/>
              <w:autoSpaceDN/>
              <w:bidi w:val="0"/>
              <w:adjustRightInd w:val="0"/>
              <w:snapToGrid w:val="0"/>
              <w:spacing w:line="322" w:lineRule="auto"/>
              <w:ind w:firstLine="480" w:firstLineChars="200"/>
              <w:rPr>
                <w:rFonts w:ascii="宋体" w:hAnsi="宋体" w:cs="宋体"/>
                <w:sz w:val="24"/>
                <w:szCs w:val="24"/>
              </w:rPr>
            </w:pPr>
            <w:r>
              <w:rPr>
                <w:rFonts w:hint="eastAsia" w:ascii="宋体" w:hAnsi="宋体" w:cs="宋体"/>
                <w:sz w:val="24"/>
                <w:szCs w:val="24"/>
              </w:rPr>
              <w:t>3、如何看待民爆行业未来的发展前景？</w:t>
            </w:r>
          </w:p>
          <w:p w14:paraId="72E5364B">
            <w:pPr>
              <w:keepNext w:val="0"/>
              <w:keepLines w:val="0"/>
              <w:pageBreakBefore w:val="0"/>
              <w:widowControl/>
              <w:kinsoku/>
              <w:wordWrap/>
              <w:overflowPunct/>
              <w:topLinePunct w:val="0"/>
              <w:autoSpaceDE/>
              <w:autoSpaceDN/>
              <w:bidi w:val="0"/>
              <w:adjustRightInd w:val="0"/>
              <w:snapToGrid w:val="0"/>
              <w:spacing w:line="322" w:lineRule="auto"/>
              <w:ind w:firstLine="480" w:firstLineChars="200"/>
              <w:rPr>
                <w:rFonts w:hint="eastAsia" w:ascii="宋体" w:hAnsi="宋体" w:cs="宋体"/>
                <w:sz w:val="24"/>
                <w:szCs w:val="24"/>
              </w:rPr>
            </w:pPr>
            <w:r>
              <w:rPr>
                <w:rFonts w:hint="eastAsia" w:ascii="宋体" w:hAnsi="宋体" w:cs="宋体"/>
                <w:sz w:val="24"/>
                <w:szCs w:val="24"/>
              </w:rPr>
              <w:t>答：民用爆炸物品行业是国民经济和社会发展必不可少的重要基础性行业。《“十四五”民用爆炸物品行业安全发展规划》实施以来，民爆行业创新驱动力逐步增强、本质安全水平大幅提升、高质量发展稳步推进。民爆行业作为基础工业“能源”和“原材料”，发展前景呈现结构性机遇。政策驱动下，行业集中度提升，数码电子雷管替代加速，智能化、信息化水平提高成为趋势。工信部《加快推进民用爆炸物品行业转型升级实施意见》要求到2027年底，民爆产品无人化生产线广泛推广应用，高危险性生产工房、工序现场实现无固定岗位操作人员；产业集中度进一步提升，形成3-5家具有较强国际竞争力的大型民爆企业（集团）；产品结构和产能布局更加优化；产品质量保障能力和有效供给能力显著增强。</w:t>
            </w:r>
          </w:p>
          <w:p w14:paraId="1C92F904">
            <w:pPr>
              <w:keepNext w:val="0"/>
              <w:keepLines w:val="0"/>
              <w:pageBreakBefore w:val="0"/>
              <w:widowControl/>
              <w:kinsoku/>
              <w:wordWrap/>
              <w:overflowPunct/>
              <w:topLinePunct w:val="0"/>
              <w:autoSpaceDE/>
              <w:autoSpaceDN/>
              <w:bidi w:val="0"/>
              <w:adjustRightInd w:val="0"/>
              <w:snapToGrid w:val="0"/>
              <w:spacing w:line="322" w:lineRule="auto"/>
              <w:ind w:firstLine="480" w:firstLineChars="200"/>
              <w:rPr>
                <w:rFonts w:hint="eastAsia" w:ascii="宋体" w:hAnsi="宋体" w:cs="宋体"/>
                <w:sz w:val="24"/>
                <w:szCs w:val="24"/>
              </w:rPr>
            </w:pPr>
          </w:p>
          <w:p w14:paraId="41AFABCE">
            <w:pPr>
              <w:pStyle w:val="51"/>
              <w:keepNext w:val="0"/>
              <w:keepLines w:val="0"/>
              <w:pageBreakBefore w:val="0"/>
              <w:kinsoku/>
              <w:wordWrap/>
              <w:overflowPunct/>
              <w:topLinePunct w:val="0"/>
              <w:autoSpaceDE/>
              <w:autoSpaceDN/>
              <w:bidi w:val="0"/>
              <w:adjustRightInd w:val="0"/>
              <w:snapToGrid w:val="0"/>
              <w:spacing w:line="322" w:lineRule="auto"/>
              <w:ind w:firstLine="480"/>
              <w:rPr>
                <w:rFonts w:ascii="宋体" w:hAnsi="宋体"/>
                <w:sz w:val="24"/>
                <w:szCs w:val="24"/>
              </w:rPr>
            </w:pPr>
            <w:r>
              <w:rPr>
                <w:rFonts w:hint="eastAsia" w:ascii="宋体" w:hAnsi="宋体" w:cs="宋体"/>
                <w:sz w:val="24"/>
                <w:szCs w:val="24"/>
              </w:rPr>
              <w:t>4、</w:t>
            </w:r>
            <w:r>
              <w:rPr>
                <w:rFonts w:ascii="宋体" w:hAnsi="宋体"/>
                <w:sz w:val="24"/>
                <w:szCs w:val="24"/>
              </w:rPr>
              <w:t>公司未来在</w:t>
            </w:r>
            <w:r>
              <w:rPr>
                <w:rFonts w:hint="eastAsia" w:ascii="宋体" w:hAnsi="宋体"/>
                <w:sz w:val="24"/>
                <w:szCs w:val="24"/>
              </w:rPr>
              <w:t>几大</w:t>
            </w:r>
            <w:r>
              <w:rPr>
                <w:rFonts w:ascii="宋体" w:hAnsi="宋体"/>
                <w:sz w:val="24"/>
                <w:szCs w:val="24"/>
              </w:rPr>
              <w:t>业务板块</w:t>
            </w:r>
            <w:r>
              <w:rPr>
                <w:rFonts w:hint="eastAsia" w:ascii="宋体" w:hAnsi="宋体"/>
                <w:sz w:val="24"/>
                <w:szCs w:val="24"/>
              </w:rPr>
              <w:t>是怎样的发展规划？</w:t>
            </w:r>
          </w:p>
          <w:p w14:paraId="0B5EDC53">
            <w:pPr>
              <w:keepNext w:val="0"/>
              <w:keepLines w:val="0"/>
              <w:pageBreakBefore w:val="0"/>
              <w:kinsoku/>
              <w:wordWrap/>
              <w:overflowPunct/>
              <w:topLinePunct w:val="0"/>
              <w:autoSpaceDE/>
              <w:autoSpaceDN/>
              <w:bidi w:val="0"/>
              <w:adjustRightInd w:val="0"/>
              <w:snapToGrid w:val="0"/>
              <w:spacing w:line="322" w:lineRule="auto"/>
              <w:ind w:firstLine="480" w:firstLineChars="200"/>
              <w:rPr>
                <w:rFonts w:hint="eastAsia" w:ascii="宋体" w:hAnsi="宋体"/>
                <w:sz w:val="24"/>
                <w:szCs w:val="24"/>
              </w:rPr>
            </w:pPr>
            <w:r>
              <w:rPr>
                <w:rFonts w:hint="eastAsia" w:ascii="宋体" w:hAnsi="宋体"/>
                <w:sz w:val="24"/>
                <w:szCs w:val="24"/>
              </w:rPr>
              <w:t>答</w:t>
            </w:r>
            <w:r>
              <w:rPr>
                <w:rFonts w:ascii="宋体" w:hAnsi="宋体"/>
                <w:sz w:val="24"/>
                <w:szCs w:val="24"/>
              </w:rPr>
              <w:t>：</w:t>
            </w:r>
            <w:r>
              <w:rPr>
                <w:rFonts w:hint="eastAsia" w:ascii="宋体" w:hAnsi="宋体"/>
                <w:sz w:val="24"/>
                <w:szCs w:val="24"/>
              </w:rPr>
              <w:t>经过多年的发展，</w:t>
            </w:r>
            <w:r>
              <w:rPr>
                <w:rFonts w:ascii="宋体" w:hAnsi="宋体"/>
                <w:sz w:val="24"/>
                <w:szCs w:val="24"/>
              </w:rPr>
              <w:t>公司目前</w:t>
            </w:r>
            <w:r>
              <w:rPr>
                <w:rFonts w:hint="eastAsia" w:ascii="宋体" w:hAnsi="宋体"/>
                <w:sz w:val="24"/>
                <w:szCs w:val="24"/>
              </w:rPr>
              <w:t>已</w:t>
            </w:r>
            <w:r>
              <w:rPr>
                <w:rFonts w:ascii="宋体" w:hAnsi="宋体"/>
                <w:sz w:val="24"/>
                <w:szCs w:val="24"/>
              </w:rPr>
              <w:t>形成以民爆一体化产业为主体，以轨交自动化信息化、军工新材料产业为两翼的发展格局</w:t>
            </w:r>
            <w:r>
              <w:rPr>
                <w:rFonts w:hint="eastAsia" w:ascii="宋体" w:hAnsi="宋体"/>
                <w:sz w:val="24"/>
                <w:szCs w:val="24"/>
              </w:rPr>
              <w:t>。</w:t>
            </w:r>
          </w:p>
          <w:p w14:paraId="4DA3EFB7">
            <w:pPr>
              <w:keepNext w:val="0"/>
              <w:keepLines w:val="0"/>
              <w:pageBreakBefore w:val="0"/>
              <w:widowControl/>
              <w:kinsoku/>
              <w:wordWrap/>
              <w:overflowPunct/>
              <w:topLinePunct w:val="0"/>
              <w:autoSpaceDE/>
              <w:autoSpaceDN/>
              <w:bidi w:val="0"/>
              <w:adjustRightInd w:val="0"/>
              <w:snapToGrid w:val="0"/>
              <w:spacing w:line="322" w:lineRule="auto"/>
              <w:ind w:firstLine="480" w:firstLineChars="200"/>
              <w:rPr>
                <w:rFonts w:hint="eastAsia" w:ascii="宋体" w:hAnsi="宋体" w:cs="宋体"/>
                <w:sz w:val="24"/>
                <w:szCs w:val="24"/>
              </w:rPr>
            </w:pPr>
            <w:r>
              <w:rPr>
                <w:rFonts w:hint="eastAsia" w:asciiTheme="minorEastAsia" w:hAnsiTheme="minorEastAsia" w:eastAsiaTheme="minorEastAsia" w:cstheme="minorEastAsia"/>
                <w:color w:val="000000"/>
                <w:kern w:val="0"/>
                <w:sz w:val="24"/>
                <w:szCs w:val="24"/>
                <w:lang w:bidi="ar"/>
              </w:rPr>
              <w:t>公司对民爆一体化产业将持续做强做优做大；军工新材料产业作为公司战略新兴产业，紧跟国家重大战略安排和关键能力备份，有望成为业绩增长“新引擎”；轨交自动化及信息化产业作为公司数字化转型的有力抓手，借助国家级“双跨”平台对外赋能。未来，公司将科学谋划好“十五五”产业发展规划，围绕公司发展战略，通过加大科技创新、整合内部资源、优化产业布局、调整产品结构，</w:t>
            </w:r>
            <w:r>
              <w:rPr>
                <w:rFonts w:hint="eastAsia" w:asciiTheme="minorEastAsia" w:hAnsiTheme="minorEastAsia" w:eastAsiaTheme="minorEastAsia" w:cstheme="minorEastAsia"/>
                <w:sz w:val="24"/>
                <w:szCs w:val="24"/>
              </w:rPr>
              <w:t>持续推动公司做强做优做大。</w:t>
            </w:r>
          </w:p>
          <w:p w14:paraId="25301C05">
            <w:pPr>
              <w:keepNext w:val="0"/>
              <w:keepLines w:val="0"/>
              <w:pageBreakBefore w:val="0"/>
              <w:widowControl/>
              <w:kinsoku/>
              <w:wordWrap/>
              <w:overflowPunct/>
              <w:topLinePunct w:val="0"/>
              <w:autoSpaceDE/>
              <w:autoSpaceDN/>
              <w:bidi w:val="0"/>
              <w:adjustRightInd w:val="0"/>
              <w:snapToGrid w:val="0"/>
              <w:spacing w:line="322" w:lineRule="auto"/>
              <w:ind w:firstLine="480" w:firstLineChars="200"/>
              <w:rPr>
                <w:rFonts w:ascii="宋体" w:hAnsi="宋体" w:cs="宋体"/>
                <w:sz w:val="24"/>
                <w:szCs w:val="24"/>
              </w:rPr>
            </w:pPr>
          </w:p>
          <w:p w14:paraId="00E23E08">
            <w:pPr>
              <w:keepNext w:val="0"/>
              <w:keepLines w:val="0"/>
              <w:pageBreakBefore w:val="0"/>
              <w:kinsoku/>
              <w:wordWrap/>
              <w:overflowPunct/>
              <w:topLinePunct w:val="0"/>
              <w:autoSpaceDE/>
              <w:autoSpaceDN/>
              <w:bidi w:val="0"/>
              <w:adjustRightInd w:val="0"/>
              <w:snapToGrid w:val="0"/>
              <w:spacing w:line="322" w:lineRule="auto"/>
              <w:ind w:firstLine="480" w:firstLineChars="200"/>
              <w:rPr>
                <w:rFonts w:ascii="宋体" w:hAnsi="宋体"/>
                <w:sz w:val="24"/>
              </w:rPr>
            </w:pPr>
            <w:r>
              <w:rPr>
                <w:rFonts w:hint="eastAsia" w:ascii="宋体" w:hAnsi="宋体" w:cs="宋体"/>
                <w:sz w:val="24"/>
                <w:szCs w:val="24"/>
              </w:rPr>
              <w:t>5、公司下属子公司拓泓新材、三石有色生产的钽铌氧化物，相关</w:t>
            </w:r>
            <w:r>
              <w:rPr>
                <w:rFonts w:hint="eastAsia" w:ascii="宋体" w:hAnsi="宋体"/>
                <w:sz w:val="24"/>
              </w:rPr>
              <w:t>钽(Ta)、铌(Nb)材料在可控核聚变技术中有哪些应用？</w:t>
            </w:r>
          </w:p>
          <w:p w14:paraId="122A5D10">
            <w:pPr>
              <w:keepNext w:val="0"/>
              <w:keepLines w:val="0"/>
              <w:pageBreakBefore w:val="0"/>
              <w:kinsoku/>
              <w:wordWrap/>
              <w:overflowPunct/>
              <w:topLinePunct w:val="0"/>
              <w:autoSpaceDE/>
              <w:autoSpaceDN/>
              <w:bidi w:val="0"/>
              <w:adjustRightInd w:val="0"/>
              <w:snapToGrid w:val="0"/>
              <w:spacing w:line="322" w:lineRule="auto"/>
              <w:ind w:firstLine="480" w:firstLineChars="200"/>
              <w:rPr>
                <w:rFonts w:ascii="宋体" w:hAnsi="宋体"/>
                <w:sz w:val="24"/>
              </w:rPr>
            </w:pPr>
            <w:r>
              <w:rPr>
                <w:rFonts w:hint="eastAsia" w:ascii="宋体" w:hAnsi="宋体"/>
                <w:sz w:val="24"/>
              </w:rPr>
              <w:t>答：公司依托下属子公司拓泓新材、三石有色开展钽铌业务，其主要从事钽铌稀有有色金属湿法冶炼加工销售。拓泓新材主要生产冶金级钽铌氧化物处于稳定量产阶段，三石有色覆盖高纯氧化物及超高纯氧化物等高附加值产品，</w:t>
            </w:r>
            <w:r>
              <w:rPr>
                <w:rFonts w:hint="eastAsia" w:ascii="宋体" w:hAnsi="宋体"/>
                <w:sz w:val="24"/>
                <w:lang w:val="en-US" w:eastAsia="zh-CN"/>
              </w:rPr>
              <w:t>冶金级</w:t>
            </w:r>
            <w:r>
              <w:rPr>
                <w:rFonts w:hint="eastAsia" w:ascii="宋体" w:hAnsi="宋体"/>
                <w:sz w:val="24"/>
              </w:rPr>
              <w:t>钽铌氧化物</w:t>
            </w:r>
            <w:r>
              <w:rPr>
                <w:rFonts w:hint="eastAsia" w:ascii="宋体" w:hAnsi="宋体"/>
                <w:sz w:val="24"/>
                <w:lang w:val="en-US" w:eastAsia="zh-CN"/>
              </w:rPr>
              <w:t>已稳定产量，高纯度产品处于试制阶段</w:t>
            </w:r>
            <w:r>
              <w:rPr>
                <w:rFonts w:hint="eastAsia" w:ascii="宋体" w:hAnsi="宋体"/>
                <w:sz w:val="24"/>
              </w:rPr>
              <w:t>。</w:t>
            </w:r>
          </w:p>
          <w:p w14:paraId="72C4EC40">
            <w:pPr>
              <w:keepNext w:val="0"/>
              <w:keepLines w:val="0"/>
              <w:pageBreakBefore w:val="0"/>
              <w:kinsoku/>
              <w:wordWrap/>
              <w:overflowPunct/>
              <w:topLinePunct w:val="0"/>
              <w:autoSpaceDE/>
              <w:autoSpaceDN/>
              <w:bidi w:val="0"/>
              <w:adjustRightInd w:val="0"/>
              <w:snapToGrid w:val="0"/>
              <w:spacing w:line="322" w:lineRule="auto"/>
              <w:ind w:firstLine="480" w:firstLineChars="200"/>
              <w:rPr>
                <w:rFonts w:ascii="宋体" w:hAnsi="宋体"/>
                <w:sz w:val="24"/>
              </w:rPr>
            </w:pPr>
            <w:r>
              <w:rPr>
                <w:rFonts w:hint="eastAsia" w:ascii="宋体" w:hAnsi="宋体"/>
                <w:sz w:val="24"/>
              </w:rPr>
              <w:t>高纯度铌是制造核聚变装置中超导磁体线圈的核心材料，例如国际热核聚变实验堆(ITER)使用的铌钛(Nb-Ti)和铌三锡(NbSn)合金。这些材料需满足极低温环境下的超导性能要求，确保等离子体的磁约束稳定性。</w:t>
            </w:r>
          </w:p>
          <w:p w14:paraId="1F82B537">
            <w:pPr>
              <w:keepNext w:val="0"/>
              <w:keepLines w:val="0"/>
              <w:pageBreakBefore w:val="0"/>
              <w:kinsoku/>
              <w:wordWrap/>
              <w:overflowPunct/>
              <w:topLinePunct w:val="0"/>
              <w:autoSpaceDE/>
              <w:autoSpaceDN/>
              <w:bidi w:val="0"/>
              <w:adjustRightInd w:val="0"/>
              <w:snapToGrid w:val="0"/>
              <w:spacing w:line="322" w:lineRule="auto"/>
              <w:ind w:firstLine="480" w:firstLineChars="200"/>
              <w:rPr>
                <w:rFonts w:ascii="宋体" w:hAnsi="宋体"/>
                <w:sz w:val="24"/>
              </w:rPr>
            </w:pPr>
            <w:r>
              <w:rPr>
                <w:rFonts w:hint="eastAsia" w:ascii="宋体" w:hAnsi="宋体"/>
                <w:sz w:val="24"/>
              </w:rPr>
              <w:t>铌超导腔是粒子加速器和大科学装置(如自由电子激光器)的关键部件，未来可能延伸至核聚变的射频加热系统。</w:t>
            </w:r>
          </w:p>
          <w:p w14:paraId="0F3A31B8">
            <w:pPr>
              <w:keepNext w:val="0"/>
              <w:keepLines w:val="0"/>
              <w:pageBreakBefore w:val="0"/>
              <w:kinsoku/>
              <w:wordWrap/>
              <w:overflowPunct/>
              <w:topLinePunct w:val="0"/>
              <w:autoSpaceDE/>
              <w:autoSpaceDN/>
              <w:bidi w:val="0"/>
              <w:adjustRightInd w:val="0"/>
              <w:snapToGrid w:val="0"/>
              <w:spacing w:line="322" w:lineRule="auto"/>
              <w:ind w:firstLine="480" w:firstLineChars="200"/>
              <w:rPr>
                <w:rFonts w:hint="eastAsia" w:ascii="宋体" w:hAnsi="宋体" w:cs="宋体"/>
                <w:sz w:val="24"/>
                <w:szCs w:val="24"/>
              </w:rPr>
            </w:pPr>
          </w:p>
          <w:p w14:paraId="0D291263">
            <w:pPr>
              <w:keepNext w:val="0"/>
              <w:keepLines w:val="0"/>
              <w:pageBreakBefore w:val="0"/>
              <w:kinsoku/>
              <w:wordWrap/>
              <w:overflowPunct/>
              <w:topLinePunct w:val="0"/>
              <w:autoSpaceDE/>
              <w:autoSpaceDN/>
              <w:bidi w:val="0"/>
              <w:adjustRightInd w:val="0"/>
              <w:snapToGrid w:val="0"/>
              <w:spacing w:line="322" w:lineRule="auto"/>
              <w:ind w:firstLine="480" w:firstLineChars="200"/>
              <w:rPr>
                <w:rFonts w:ascii="宋体" w:hAnsi="宋体" w:cs="宋体"/>
                <w:sz w:val="24"/>
                <w:szCs w:val="24"/>
              </w:rPr>
            </w:pPr>
            <w:r>
              <w:rPr>
                <w:rFonts w:hint="eastAsia" w:ascii="宋体" w:hAnsi="宋体" w:cs="宋体"/>
                <w:sz w:val="24"/>
                <w:szCs w:val="24"/>
              </w:rPr>
              <w:t>6、公司含能新材料项目建设情况，是否能按期投产？</w:t>
            </w:r>
          </w:p>
          <w:p w14:paraId="1B6580E6">
            <w:pPr>
              <w:keepNext w:val="0"/>
              <w:keepLines w:val="0"/>
              <w:pageBreakBefore w:val="0"/>
              <w:kinsoku/>
              <w:wordWrap/>
              <w:overflowPunct/>
              <w:topLinePunct w:val="0"/>
              <w:autoSpaceDE/>
              <w:autoSpaceDN/>
              <w:bidi w:val="0"/>
              <w:adjustRightInd w:val="0"/>
              <w:snapToGrid w:val="0"/>
              <w:spacing w:line="322" w:lineRule="auto"/>
              <w:ind w:firstLine="480" w:firstLineChars="200"/>
              <w:rPr>
                <w:rFonts w:ascii="宋体" w:hAnsi="宋体" w:cs="宋体"/>
                <w:sz w:val="24"/>
                <w:szCs w:val="24"/>
              </w:rPr>
            </w:pPr>
            <w:r>
              <w:rPr>
                <w:rFonts w:hint="eastAsia" w:ascii="宋体" w:hAnsi="宋体" w:cs="宋体"/>
                <w:sz w:val="24"/>
                <w:szCs w:val="24"/>
              </w:rPr>
              <w:t>答：公司自2024年5月取到国家有关部门批文后，举全力推进含能材料生产线建设，目前进度符合预期，能够按计划按节点实现001线贯通、进入试生产阶段。</w:t>
            </w:r>
            <w:r>
              <w:rPr>
                <w:rFonts w:ascii="宋体" w:hAnsi="宋体" w:cs="宋体"/>
                <w:sz w:val="24"/>
                <w:szCs w:val="24"/>
              </w:rPr>
              <w:t>预计公司含能材料项目</w:t>
            </w:r>
            <w:r>
              <w:rPr>
                <w:rFonts w:hint="eastAsia" w:ascii="宋体" w:hAnsi="宋体" w:cs="宋体"/>
                <w:sz w:val="24"/>
                <w:szCs w:val="24"/>
                <w:lang w:val="en-US" w:eastAsia="zh-CN"/>
              </w:rPr>
              <w:t>产线</w:t>
            </w:r>
            <w:r>
              <w:rPr>
                <w:rFonts w:ascii="宋体" w:hAnsi="宋体" w:cs="宋体"/>
                <w:sz w:val="24"/>
                <w:szCs w:val="24"/>
              </w:rPr>
              <w:t>全部建成投产后，公司</w:t>
            </w:r>
            <w:r>
              <w:rPr>
                <w:rFonts w:hint="eastAsia" w:ascii="宋体" w:hAnsi="宋体" w:cs="宋体"/>
                <w:sz w:val="24"/>
                <w:szCs w:val="24"/>
                <w:lang w:val="en-US" w:eastAsia="zh-CN"/>
              </w:rPr>
              <w:t>军工新材料产业</w:t>
            </w:r>
            <w:r>
              <w:rPr>
                <w:rFonts w:ascii="宋体" w:hAnsi="宋体" w:cs="宋体"/>
                <w:sz w:val="24"/>
                <w:szCs w:val="24"/>
              </w:rPr>
              <w:t>的资产规模、营业收入、利润指标等能够</w:t>
            </w:r>
            <w:r>
              <w:rPr>
                <w:rFonts w:hint="eastAsia" w:ascii="宋体" w:hAnsi="宋体" w:cs="宋体"/>
                <w:sz w:val="24"/>
                <w:szCs w:val="24"/>
              </w:rPr>
              <w:t>进一步提升，</w:t>
            </w:r>
            <w:r>
              <w:rPr>
                <w:rFonts w:hint="eastAsia" w:ascii="宋体" w:hAnsi="宋体" w:cs="宋体"/>
                <w:sz w:val="24"/>
                <w:szCs w:val="24"/>
                <w:lang w:val="en-US" w:eastAsia="zh-CN"/>
              </w:rPr>
              <w:t>缩小与民爆一体化产业发展差距</w:t>
            </w:r>
            <w:r>
              <w:rPr>
                <w:rFonts w:hint="eastAsia" w:ascii="宋体" w:hAnsi="宋体" w:cs="宋体"/>
                <w:sz w:val="24"/>
                <w:szCs w:val="24"/>
              </w:rPr>
              <w:t>，</w:t>
            </w:r>
            <w:r>
              <w:rPr>
                <w:rFonts w:hint="default" w:ascii="宋体" w:hAnsi="宋体" w:cs="宋体"/>
                <w:sz w:val="24"/>
                <w:szCs w:val="24"/>
                <w:lang w:val="en-US"/>
              </w:rPr>
              <w:t>实现</w:t>
            </w:r>
            <w:r>
              <w:rPr>
                <w:rFonts w:hint="eastAsia" w:ascii="宋体" w:hAnsi="宋体" w:cs="宋体"/>
                <w:sz w:val="24"/>
                <w:szCs w:val="24"/>
              </w:rPr>
              <w:t>公司产业发展新动能。</w:t>
            </w:r>
          </w:p>
        </w:tc>
      </w:tr>
      <w:tr w14:paraId="3393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center"/>
          </w:tcPr>
          <w:p w14:paraId="2D3B9F8F">
            <w:pPr>
              <w:pStyle w:val="25"/>
              <w:keepNext w:val="0"/>
              <w:keepLines w:val="0"/>
              <w:pageBreakBefore w:val="0"/>
              <w:kinsoku/>
              <w:wordWrap/>
              <w:overflowPunct/>
              <w:topLinePunct w:val="0"/>
              <w:autoSpaceDE/>
              <w:autoSpaceDN/>
              <w:bidi w:val="0"/>
              <w:spacing w:line="322" w:lineRule="auto"/>
              <w:rPr>
                <w:rFonts w:ascii="Times New Roman" w:hAnsi="Times New Roman"/>
                <w:b/>
                <w:bCs/>
                <w:iCs/>
                <w:sz w:val="24"/>
              </w:rPr>
            </w:pPr>
            <w:r>
              <w:rPr>
                <w:rFonts w:ascii="Times New Roman" w:hAnsi="Times New Roman"/>
                <w:b/>
                <w:bCs/>
                <w:iCs/>
                <w:sz w:val="24"/>
              </w:rPr>
              <w:t>附件清单</w:t>
            </w:r>
          </w:p>
        </w:tc>
        <w:tc>
          <w:tcPr>
            <w:tcW w:w="6996" w:type="dxa"/>
            <w:vAlign w:val="center"/>
          </w:tcPr>
          <w:p w14:paraId="604BF607">
            <w:pPr>
              <w:pStyle w:val="25"/>
              <w:keepNext w:val="0"/>
              <w:keepLines w:val="0"/>
              <w:pageBreakBefore w:val="0"/>
              <w:kinsoku/>
              <w:wordWrap/>
              <w:overflowPunct/>
              <w:topLinePunct w:val="0"/>
              <w:autoSpaceDE/>
              <w:autoSpaceDN/>
              <w:bidi w:val="0"/>
              <w:spacing w:line="322" w:lineRule="auto"/>
              <w:rPr>
                <w:rFonts w:ascii="Times New Roman" w:hAnsi="Times New Roman"/>
                <w:bCs/>
                <w:iCs/>
                <w:sz w:val="24"/>
              </w:rPr>
            </w:pPr>
            <w:r>
              <w:rPr>
                <w:rFonts w:ascii="Times New Roman" w:hAnsi="Times New Roman"/>
                <w:bCs/>
                <w:iCs/>
                <w:sz w:val="24"/>
              </w:rPr>
              <w:t>无。</w:t>
            </w:r>
          </w:p>
        </w:tc>
      </w:tr>
      <w:tr w14:paraId="5310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F69DFE">
            <w:pPr>
              <w:pStyle w:val="25"/>
              <w:keepNext w:val="0"/>
              <w:keepLines w:val="0"/>
              <w:pageBreakBefore w:val="0"/>
              <w:kinsoku/>
              <w:wordWrap/>
              <w:overflowPunct/>
              <w:topLinePunct w:val="0"/>
              <w:autoSpaceDE/>
              <w:autoSpaceDN/>
              <w:bidi w:val="0"/>
              <w:spacing w:line="322" w:lineRule="auto"/>
              <w:rPr>
                <w:rFonts w:ascii="Times New Roman" w:hAnsi="Times New Roman"/>
                <w:b/>
                <w:bCs/>
                <w:iCs/>
                <w:sz w:val="24"/>
              </w:rPr>
            </w:pPr>
            <w:r>
              <w:rPr>
                <w:rFonts w:ascii="Times New Roman" w:hAnsi="Times New Roman"/>
                <w:b/>
                <w:bCs/>
                <w:iCs/>
                <w:sz w:val="24"/>
              </w:rPr>
              <w:t>日期</w:t>
            </w:r>
          </w:p>
        </w:tc>
        <w:tc>
          <w:tcPr>
            <w:tcW w:w="6996" w:type="dxa"/>
            <w:vAlign w:val="center"/>
          </w:tcPr>
          <w:p w14:paraId="425B4162">
            <w:pPr>
              <w:pStyle w:val="25"/>
              <w:keepNext w:val="0"/>
              <w:keepLines w:val="0"/>
              <w:pageBreakBefore w:val="0"/>
              <w:kinsoku/>
              <w:wordWrap/>
              <w:overflowPunct/>
              <w:topLinePunct w:val="0"/>
              <w:autoSpaceDE/>
              <w:autoSpaceDN/>
              <w:bidi w:val="0"/>
              <w:spacing w:line="322" w:lineRule="auto"/>
              <w:rPr>
                <w:rFonts w:ascii="Times New Roman" w:hAnsi="Times New Roman"/>
                <w:bCs/>
                <w:iCs/>
                <w:sz w:val="24"/>
              </w:rPr>
            </w:pPr>
            <w:r>
              <w:rPr>
                <w:rFonts w:ascii="Times New Roman" w:hAnsi="Times New Roman"/>
                <w:bCs/>
                <w:iCs/>
                <w:sz w:val="24"/>
              </w:rPr>
              <w:t>202</w:t>
            </w:r>
            <w:r>
              <w:rPr>
                <w:rFonts w:hint="eastAsia" w:ascii="Times New Roman" w:hAnsi="Times New Roman"/>
                <w:bCs/>
                <w:iCs/>
                <w:sz w:val="24"/>
              </w:rPr>
              <w:t>5</w:t>
            </w:r>
            <w:r>
              <w:rPr>
                <w:rFonts w:ascii="Times New Roman" w:hAnsi="Times New Roman"/>
                <w:bCs/>
                <w:iCs/>
                <w:sz w:val="24"/>
              </w:rPr>
              <w:t>年</w:t>
            </w:r>
            <w:r>
              <w:rPr>
                <w:rFonts w:hint="eastAsia" w:ascii="Times New Roman" w:hAnsi="Times New Roman"/>
                <w:bCs/>
                <w:iCs/>
                <w:sz w:val="24"/>
              </w:rPr>
              <w:t>5月25</w:t>
            </w:r>
            <w:r>
              <w:rPr>
                <w:rFonts w:ascii="Times New Roman" w:hAnsi="Times New Roman"/>
                <w:bCs/>
                <w:iCs/>
                <w:sz w:val="24"/>
              </w:rPr>
              <w:t>日</w:t>
            </w:r>
          </w:p>
        </w:tc>
      </w:tr>
    </w:tbl>
    <w:p w14:paraId="62001F62">
      <w:pPr>
        <w:adjustRightInd w:val="0"/>
        <w:snapToGrid w:val="0"/>
        <w:rPr>
          <w:rFonts w:ascii="Times New Roman" w:hAnsi="Times New Roman"/>
          <w:sz w:val="28"/>
          <w:szCs w:val="28"/>
        </w:rPr>
      </w:pPr>
      <w:bookmarkStart w:id="0" w:name="_GoBack"/>
      <w:bookmarkEnd w:id="0"/>
    </w:p>
    <w:sectPr>
      <w:footerReference r:id="rId3" w:type="default"/>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294211"/>
    </w:sdtPr>
    <w:sdtContent>
      <w:p w14:paraId="0BD816A8">
        <w:pPr>
          <w:pStyle w:val="8"/>
          <w:jc w:val="center"/>
        </w:pPr>
        <w:r>
          <w:fldChar w:fldCharType="begin"/>
        </w:r>
        <w:r>
          <w:instrText xml:space="preserve">PAGE   \* MERGEFORMAT</w:instrText>
        </w:r>
        <w:r>
          <w:fldChar w:fldCharType="separate"/>
        </w:r>
        <w:r>
          <w:rPr>
            <w:lang w:val="zh-CN"/>
          </w:rPr>
          <w:t>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ZmYwNDIwMGE1YjNjMWQ2NTVmOWQxZjQ4NmVkZjQifQ=="/>
  </w:docVars>
  <w:rsids>
    <w:rsidRoot w:val="00172A27"/>
    <w:rsid w:val="00005BE5"/>
    <w:rsid w:val="00011023"/>
    <w:rsid w:val="00012A14"/>
    <w:rsid w:val="00051401"/>
    <w:rsid w:val="000729AD"/>
    <w:rsid w:val="00075373"/>
    <w:rsid w:val="000B3CDB"/>
    <w:rsid w:val="000B5A24"/>
    <w:rsid w:val="000D5F99"/>
    <w:rsid w:val="000E7FD8"/>
    <w:rsid w:val="000F3952"/>
    <w:rsid w:val="00111F29"/>
    <w:rsid w:val="00117DB4"/>
    <w:rsid w:val="00122706"/>
    <w:rsid w:val="001408E3"/>
    <w:rsid w:val="0014474A"/>
    <w:rsid w:val="001508BC"/>
    <w:rsid w:val="001549ED"/>
    <w:rsid w:val="00155533"/>
    <w:rsid w:val="00170126"/>
    <w:rsid w:val="00172134"/>
    <w:rsid w:val="00172A27"/>
    <w:rsid w:val="00173BDF"/>
    <w:rsid w:val="00183643"/>
    <w:rsid w:val="0019468E"/>
    <w:rsid w:val="001A3EA8"/>
    <w:rsid w:val="001C0C03"/>
    <w:rsid w:val="001C5BB5"/>
    <w:rsid w:val="001E1523"/>
    <w:rsid w:val="001F4888"/>
    <w:rsid w:val="002037D4"/>
    <w:rsid w:val="002462A7"/>
    <w:rsid w:val="00260223"/>
    <w:rsid w:val="00282BE8"/>
    <w:rsid w:val="002A4B4C"/>
    <w:rsid w:val="002D7F64"/>
    <w:rsid w:val="002F355C"/>
    <w:rsid w:val="00303F67"/>
    <w:rsid w:val="003215D0"/>
    <w:rsid w:val="003333AB"/>
    <w:rsid w:val="00350817"/>
    <w:rsid w:val="003520C8"/>
    <w:rsid w:val="00356267"/>
    <w:rsid w:val="00370EA2"/>
    <w:rsid w:val="00415011"/>
    <w:rsid w:val="00431986"/>
    <w:rsid w:val="004502D8"/>
    <w:rsid w:val="004609B1"/>
    <w:rsid w:val="00466ACE"/>
    <w:rsid w:val="004762D3"/>
    <w:rsid w:val="004C0239"/>
    <w:rsid w:val="004D0367"/>
    <w:rsid w:val="004D0F55"/>
    <w:rsid w:val="004E12F1"/>
    <w:rsid w:val="004F05BD"/>
    <w:rsid w:val="00502D48"/>
    <w:rsid w:val="00505561"/>
    <w:rsid w:val="00522148"/>
    <w:rsid w:val="0054333A"/>
    <w:rsid w:val="00546F98"/>
    <w:rsid w:val="005508BF"/>
    <w:rsid w:val="005516FE"/>
    <w:rsid w:val="005A56BD"/>
    <w:rsid w:val="005B0351"/>
    <w:rsid w:val="005D311D"/>
    <w:rsid w:val="005D3B41"/>
    <w:rsid w:val="005E6BC9"/>
    <w:rsid w:val="005F4DE4"/>
    <w:rsid w:val="00610F76"/>
    <w:rsid w:val="00612FCB"/>
    <w:rsid w:val="00621D23"/>
    <w:rsid w:val="006267C4"/>
    <w:rsid w:val="00654E41"/>
    <w:rsid w:val="00660154"/>
    <w:rsid w:val="0066027F"/>
    <w:rsid w:val="00660AD4"/>
    <w:rsid w:val="006724C6"/>
    <w:rsid w:val="006A76EB"/>
    <w:rsid w:val="0070314F"/>
    <w:rsid w:val="00714BDD"/>
    <w:rsid w:val="00726C8D"/>
    <w:rsid w:val="00730A19"/>
    <w:rsid w:val="00735737"/>
    <w:rsid w:val="007572EB"/>
    <w:rsid w:val="007577DF"/>
    <w:rsid w:val="007A6170"/>
    <w:rsid w:val="007D2B30"/>
    <w:rsid w:val="007D484F"/>
    <w:rsid w:val="007D4E3F"/>
    <w:rsid w:val="008063A5"/>
    <w:rsid w:val="00807D0E"/>
    <w:rsid w:val="00837B23"/>
    <w:rsid w:val="00856970"/>
    <w:rsid w:val="00884E81"/>
    <w:rsid w:val="008B06C3"/>
    <w:rsid w:val="00900289"/>
    <w:rsid w:val="009A379D"/>
    <w:rsid w:val="009B4AC3"/>
    <w:rsid w:val="009B5CEA"/>
    <w:rsid w:val="009C1B56"/>
    <w:rsid w:val="009C27FE"/>
    <w:rsid w:val="009D3410"/>
    <w:rsid w:val="009E3246"/>
    <w:rsid w:val="00A170C7"/>
    <w:rsid w:val="00A6191B"/>
    <w:rsid w:val="00A628F4"/>
    <w:rsid w:val="00A670F7"/>
    <w:rsid w:val="00A70EAF"/>
    <w:rsid w:val="00A71EBF"/>
    <w:rsid w:val="00A74DB1"/>
    <w:rsid w:val="00AE2EA5"/>
    <w:rsid w:val="00AE7B95"/>
    <w:rsid w:val="00AF217D"/>
    <w:rsid w:val="00B008D6"/>
    <w:rsid w:val="00B13B61"/>
    <w:rsid w:val="00B45C19"/>
    <w:rsid w:val="00B46A4A"/>
    <w:rsid w:val="00B53767"/>
    <w:rsid w:val="00B53F8B"/>
    <w:rsid w:val="00B636F0"/>
    <w:rsid w:val="00B67E74"/>
    <w:rsid w:val="00B72B1E"/>
    <w:rsid w:val="00B95F24"/>
    <w:rsid w:val="00BA60E8"/>
    <w:rsid w:val="00BB66D9"/>
    <w:rsid w:val="00BC6896"/>
    <w:rsid w:val="00BE3D4A"/>
    <w:rsid w:val="00BE6801"/>
    <w:rsid w:val="00BF44E6"/>
    <w:rsid w:val="00C528EC"/>
    <w:rsid w:val="00C5456E"/>
    <w:rsid w:val="00C9040D"/>
    <w:rsid w:val="00C96D4E"/>
    <w:rsid w:val="00CC5CA9"/>
    <w:rsid w:val="00CF0CB9"/>
    <w:rsid w:val="00CF7F22"/>
    <w:rsid w:val="00D466A6"/>
    <w:rsid w:val="00D56650"/>
    <w:rsid w:val="00D6740A"/>
    <w:rsid w:val="00D70E55"/>
    <w:rsid w:val="00D764E4"/>
    <w:rsid w:val="00D76A2A"/>
    <w:rsid w:val="00D82ADB"/>
    <w:rsid w:val="00D867EF"/>
    <w:rsid w:val="00DC0261"/>
    <w:rsid w:val="00E06D0E"/>
    <w:rsid w:val="00E23F3C"/>
    <w:rsid w:val="00E310B8"/>
    <w:rsid w:val="00E62CB1"/>
    <w:rsid w:val="00E67BAB"/>
    <w:rsid w:val="00E76B3E"/>
    <w:rsid w:val="00EA2A0B"/>
    <w:rsid w:val="00EB3F3E"/>
    <w:rsid w:val="00EC359E"/>
    <w:rsid w:val="00ED68F4"/>
    <w:rsid w:val="00EF1FB8"/>
    <w:rsid w:val="00EF628C"/>
    <w:rsid w:val="00F071C8"/>
    <w:rsid w:val="00F42141"/>
    <w:rsid w:val="00F50500"/>
    <w:rsid w:val="00F846A9"/>
    <w:rsid w:val="00F85EEC"/>
    <w:rsid w:val="00FC0EF6"/>
    <w:rsid w:val="00FC7064"/>
    <w:rsid w:val="00FE1056"/>
    <w:rsid w:val="00FE18DA"/>
    <w:rsid w:val="012F77FB"/>
    <w:rsid w:val="01663B09"/>
    <w:rsid w:val="017052C2"/>
    <w:rsid w:val="01BE6AF9"/>
    <w:rsid w:val="01DE0B90"/>
    <w:rsid w:val="0220070B"/>
    <w:rsid w:val="0272649F"/>
    <w:rsid w:val="031B1925"/>
    <w:rsid w:val="040A0C52"/>
    <w:rsid w:val="04414F29"/>
    <w:rsid w:val="04850756"/>
    <w:rsid w:val="057E50FA"/>
    <w:rsid w:val="062E19DF"/>
    <w:rsid w:val="06B74D94"/>
    <w:rsid w:val="079F2DB5"/>
    <w:rsid w:val="07DD5908"/>
    <w:rsid w:val="08140220"/>
    <w:rsid w:val="086C2CFF"/>
    <w:rsid w:val="086F3FA3"/>
    <w:rsid w:val="08C40CF3"/>
    <w:rsid w:val="093D48C6"/>
    <w:rsid w:val="09C6525C"/>
    <w:rsid w:val="09F04B00"/>
    <w:rsid w:val="0A1D72FB"/>
    <w:rsid w:val="0A9172F3"/>
    <w:rsid w:val="0AD97127"/>
    <w:rsid w:val="0C112E71"/>
    <w:rsid w:val="0C702A5E"/>
    <w:rsid w:val="0C965124"/>
    <w:rsid w:val="0DEC35A3"/>
    <w:rsid w:val="0E776918"/>
    <w:rsid w:val="0E8F0CEC"/>
    <w:rsid w:val="0EA06710"/>
    <w:rsid w:val="0F0452CB"/>
    <w:rsid w:val="0F28659B"/>
    <w:rsid w:val="0FAE4AFF"/>
    <w:rsid w:val="0FF51325"/>
    <w:rsid w:val="108D02AC"/>
    <w:rsid w:val="109D35C9"/>
    <w:rsid w:val="10A9384D"/>
    <w:rsid w:val="112573D4"/>
    <w:rsid w:val="11882673"/>
    <w:rsid w:val="11975CCC"/>
    <w:rsid w:val="11D230A2"/>
    <w:rsid w:val="126E213E"/>
    <w:rsid w:val="12C41C61"/>
    <w:rsid w:val="12C53120"/>
    <w:rsid w:val="12F31613"/>
    <w:rsid w:val="131F6DE2"/>
    <w:rsid w:val="141F5C26"/>
    <w:rsid w:val="1450602A"/>
    <w:rsid w:val="1491634A"/>
    <w:rsid w:val="14B0591D"/>
    <w:rsid w:val="14D507B4"/>
    <w:rsid w:val="15146085"/>
    <w:rsid w:val="158F0E59"/>
    <w:rsid w:val="15E962C8"/>
    <w:rsid w:val="16826AC0"/>
    <w:rsid w:val="17090DA6"/>
    <w:rsid w:val="1761330E"/>
    <w:rsid w:val="177855D8"/>
    <w:rsid w:val="17B57FA2"/>
    <w:rsid w:val="187F55E4"/>
    <w:rsid w:val="18EF7F00"/>
    <w:rsid w:val="191F5229"/>
    <w:rsid w:val="19297D6C"/>
    <w:rsid w:val="196521F3"/>
    <w:rsid w:val="19C159DC"/>
    <w:rsid w:val="19CC5666"/>
    <w:rsid w:val="1ACA7824"/>
    <w:rsid w:val="1B153B0F"/>
    <w:rsid w:val="1B2D6D86"/>
    <w:rsid w:val="1BD92B22"/>
    <w:rsid w:val="1C986C96"/>
    <w:rsid w:val="1CC96E50"/>
    <w:rsid w:val="1CCF12B9"/>
    <w:rsid w:val="1CEA0CB6"/>
    <w:rsid w:val="1D4721ED"/>
    <w:rsid w:val="1D590854"/>
    <w:rsid w:val="1DB47768"/>
    <w:rsid w:val="1E427427"/>
    <w:rsid w:val="1E7233D8"/>
    <w:rsid w:val="1FED4FD6"/>
    <w:rsid w:val="20333C9A"/>
    <w:rsid w:val="203606F7"/>
    <w:rsid w:val="20857532"/>
    <w:rsid w:val="210420AB"/>
    <w:rsid w:val="213D3241"/>
    <w:rsid w:val="226E1C50"/>
    <w:rsid w:val="232C2FB8"/>
    <w:rsid w:val="23B00D6A"/>
    <w:rsid w:val="23B95E70"/>
    <w:rsid w:val="23C737F1"/>
    <w:rsid w:val="2513238F"/>
    <w:rsid w:val="2522011E"/>
    <w:rsid w:val="26177D1E"/>
    <w:rsid w:val="26FA6683"/>
    <w:rsid w:val="27930A54"/>
    <w:rsid w:val="27A41130"/>
    <w:rsid w:val="27E730D2"/>
    <w:rsid w:val="28740B91"/>
    <w:rsid w:val="28C14B8C"/>
    <w:rsid w:val="29333E09"/>
    <w:rsid w:val="293765A7"/>
    <w:rsid w:val="29A719C6"/>
    <w:rsid w:val="2A396FA8"/>
    <w:rsid w:val="2AC55599"/>
    <w:rsid w:val="2ADE3EBE"/>
    <w:rsid w:val="2B2A2B97"/>
    <w:rsid w:val="2B9E1F94"/>
    <w:rsid w:val="2C742F1C"/>
    <w:rsid w:val="2C8974F1"/>
    <w:rsid w:val="2C8D1007"/>
    <w:rsid w:val="2D4F45EC"/>
    <w:rsid w:val="2DBC19FE"/>
    <w:rsid w:val="2DC07873"/>
    <w:rsid w:val="2E484523"/>
    <w:rsid w:val="2E72119E"/>
    <w:rsid w:val="2F3274BC"/>
    <w:rsid w:val="30091B5C"/>
    <w:rsid w:val="301402BF"/>
    <w:rsid w:val="30145DD2"/>
    <w:rsid w:val="30371B9A"/>
    <w:rsid w:val="316763F2"/>
    <w:rsid w:val="31A53D8D"/>
    <w:rsid w:val="3208431E"/>
    <w:rsid w:val="3237618E"/>
    <w:rsid w:val="32440EDC"/>
    <w:rsid w:val="32654D10"/>
    <w:rsid w:val="326C0551"/>
    <w:rsid w:val="328C0AF9"/>
    <w:rsid w:val="32DD02DF"/>
    <w:rsid w:val="33690F44"/>
    <w:rsid w:val="33CE2331"/>
    <w:rsid w:val="356B0A3B"/>
    <w:rsid w:val="362C4BA3"/>
    <w:rsid w:val="36704ABB"/>
    <w:rsid w:val="367D2D2D"/>
    <w:rsid w:val="369778A1"/>
    <w:rsid w:val="36A06137"/>
    <w:rsid w:val="373C3BA7"/>
    <w:rsid w:val="37A10571"/>
    <w:rsid w:val="37F25E82"/>
    <w:rsid w:val="385653BD"/>
    <w:rsid w:val="38C479A9"/>
    <w:rsid w:val="38CD681E"/>
    <w:rsid w:val="38DC5496"/>
    <w:rsid w:val="39760E2C"/>
    <w:rsid w:val="39AB7BB1"/>
    <w:rsid w:val="39AE48B3"/>
    <w:rsid w:val="39D37144"/>
    <w:rsid w:val="39D4375B"/>
    <w:rsid w:val="39D964F3"/>
    <w:rsid w:val="39DC36C8"/>
    <w:rsid w:val="3A3042F0"/>
    <w:rsid w:val="3A4D0C68"/>
    <w:rsid w:val="3A5B4367"/>
    <w:rsid w:val="3A811C01"/>
    <w:rsid w:val="3A953F23"/>
    <w:rsid w:val="3ABA309F"/>
    <w:rsid w:val="3BD0316A"/>
    <w:rsid w:val="3BEE40FB"/>
    <w:rsid w:val="3C3C4F74"/>
    <w:rsid w:val="3C5C4961"/>
    <w:rsid w:val="3D9A797A"/>
    <w:rsid w:val="3E7551CA"/>
    <w:rsid w:val="3ED846AD"/>
    <w:rsid w:val="3F827886"/>
    <w:rsid w:val="3FD2226D"/>
    <w:rsid w:val="40095F44"/>
    <w:rsid w:val="401B340B"/>
    <w:rsid w:val="40293542"/>
    <w:rsid w:val="4037674B"/>
    <w:rsid w:val="40F912CC"/>
    <w:rsid w:val="41030C2C"/>
    <w:rsid w:val="41557C10"/>
    <w:rsid w:val="42A329D9"/>
    <w:rsid w:val="431B63A1"/>
    <w:rsid w:val="44771BE8"/>
    <w:rsid w:val="459C3284"/>
    <w:rsid w:val="4639158F"/>
    <w:rsid w:val="466934D4"/>
    <w:rsid w:val="469B1418"/>
    <w:rsid w:val="46CE0C62"/>
    <w:rsid w:val="46D33C0B"/>
    <w:rsid w:val="46E55077"/>
    <w:rsid w:val="46F56910"/>
    <w:rsid w:val="47413903"/>
    <w:rsid w:val="47B046BF"/>
    <w:rsid w:val="47D546FC"/>
    <w:rsid w:val="47D54D13"/>
    <w:rsid w:val="481E5EE0"/>
    <w:rsid w:val="484F0AC7"/>
    <w:rsid w:val="48562A5D"/>
    <w:rsid w:val="48B10EED"/>
    <w:rsid w:val="48D2515B"/>
    <w:rsid w:val="4933371F"/>
    <w:rsid w:val="49B37CF3"/>
    <w:rsid w:val="4A1C0F29"/>
    <w:rsid w:val="4A9F3C99"/>
    <w:rsid w:val="4B7B1369"/>
    <w:rsid w:val="4BDB5432"/>
    <w:rsid w:val="4C0E4530"/>
    <w:rsid w:val="4C565819"/>
    <w:rsid w:val="4D171D2A"/>
    <w:rsid w:val="4D2224A6"/>
    <w:rsid w:val="4D241CFD"/>
    <w:rsid w:val="4D4B521F"/>
    <w:rsid w:val="4DF5519C"/>
    <w:rsid w:val="4E004A5C"/>
    <w:rsid w:val="4E5D1EF1"/>
    <w:rsid w:val="4E731CF7"/>
    <w:rsid w:val="4E9133C2"/>
    <w:rsid w:val="4EA763BF"/>
    <w:rsid w:val="4EED3194"/>
    <w:rsid w:val="4EFB1BC3"/>
    <w:rsid w:val="4F376605"/>
    <w:rsid w:val="50CE348B"/>
    <w:rsid w:val="51A83C8D"/>
    <w:rsid w:val="524D6C8F"/>
    <w:rsid w:val="53811229"/>
    <w:rsid w:val="53E607EA"/>
    <w:rsid w:val="546F389A"/>
    <w:rsid w:val="554C3B9F"/>
    <w:rsid w:val="557378ED"/>
    <w:rsid w:val="55E40C52"/>
    <w:rsid w:val="563A5AB9"/>
    <w:rsid w:val="57204F99"/>
    <w:rsid w:val="579C7722"/>
    <w:rsid w:val="583F204E"/>
    <w:rsid w:val="58AE5E7C"/>
    <w:rsid w:val="59072908"/>
    <w:rsid w:val="595E459B"/>
    <w:rsid w:val="59817DB6"/>
    <w:rsid w:val="59A74B39"/>
    <w:rsid w:val="5A372CE3"/>
    <w:rsid w:val="5A7D0C9E"/>
    <w:rsid w:val="5A8E4C59"/>
    <w:rsid w:val="5AD41F13"/>
    <w:rsid w:val="5B666B02"/>
    <w:rsid w:val="5B8D4930"/>
    <w:rsid w:val="5BDA230A"/>
    <w:rsid w:val="5BFA6489"/>
    <w:rsid w:val="5BFB3C44"/>
    <w:rsid w:val="5C6B3654"/>
    <w:rsid w:val="5C8445D7"/>
    <w:rsid w:val="5CE91611"/>
    <w:rsid w:val="5D2D269B"/>
    <w:rsid w:val="5D5201C0"/>
    <w:rsid w:val="5DC9716E"/>
    <w:rsid w:val="5DDE5652"/>
    <w:rsid w:val="5E1E162F"/>
    <w:rsid w:val="5E4F3FF8"/>
    <w:rsid w:val="5E613EA4"/>
    <w:rsid w:val="5EDF54D4"/>
    <w:rsid w:val="5F076D88"/>
    <w:rsid w:val="5F8D54E0"/>
    <w:rsid w:val="5FDD409B"/>
    <w:rsid w:val="5FEA56D8"/>
    <w:rsid w:val="5FFD5735"/>
    <w:rsid w:val="607313C1"/>
    <w:rsid w:val="60B66CA4"/>
    <w:rsid w:val="60E640CC"/>
    <w:rsid w:val="60FD3B15"/>
    <w:rsid w:val="61370427"/>
    <w:rsid w:val="62315391"/>
    <w:rsid w:val="62B05907"/>
    <w:rsid w:val="62C108C4"/>
    <w:rsid w:val="634927F8"/>
    <w:rsid w:val="634F36B4"/>
    <w:rsid w:val="639208BE"/>
    <w:rsid w:val="63921342"/>
    <w:rsid w:val="64086639"/>
    <w:rsid w:val="64287ECD"/>
    <w:rsid w:val="646F429E"/>
    <w:rsid w:val="6498572D"/>
    <w:rsid w:val="64B9162B"/>
    <w:rsid w:val="658A6517"/>
    <w:rsid w:val="65D976D1"/>
    <w:rsid w:val="66247BB8"/>
    <w:rsid w:val="663740B6"/>
    <w:rsid w:val="665C68CF"/>
    <w:rsid w:val="66601051"/>
    <w:rsid w:val="667667E2"/>
    <w:rsid w:val="66902670"/>
    <w:rsid w:val="66F75934"/>
    <w:rsid w:val="6710771C"/>
    <w:rsid w:val="67585815"/>
    <w:rsid w:val="678E1D9F"/>
    <w:rsid w:val="679D374F"/>
    <w:rsid w:val="67B13EAA"/>
    <w:rsid w:val="68053E8D"/>
    <w:rsid w:val="684431E4"/>
    <w:rsid w:val="69236347"/>
    <w:rsid w:val="694E1C94"/>
    <w:rsid w:val="69F65C1A"/>
    <w:rsid w:val="6A275748"/>
    <w:rsid w:val="6A36252B"/>
    <w:rsid w:val="6A724BD9"/>
    <w:rsid w:val="6ACB2952"/>
    <w:rsid w:val="6AE826A6"/>
    <w:rsid w:val="6B0200D2"/>
    <w:rsid w:val="6B4B624F"/>
    <w:rsid w:val="6B83735C"/>
    <w:rsid w:val="6D561607"/>
    <w:rsid w:val="6D766FAF"/>
    <w:rsid w:val="6E2F47E7"/>
    <w:rsid w:val="6E3E5853"/>
    <w:rsid w:val="6E576C48"/>
    <w:rsid w:val="6E5C1E06"/>
    <w:rsid w:val="6E711399"/>
    <w:rsid w:val="6E7D2E87"/>
    <w:rsid w:val="6E8825BC"/>
    <w:rsid w:val="6E9B4D97"/>
    <w:rsid w:val="6EC33075"/>
    <w:rsid w:val="6EED1B3F"/>
    <w:rsid w:val="6F433BCC"/>
    <w:rsid w:val="6F595014"/>
    <w:rsid w:val="706A2341"/>
    <w:rsid w:val="713D060F"/>
    <w:rsid w:val="71B6320B"/>
    <w:rsid w:val="72075026"/>
    <w:rsid w:val="722608CA"/>
    <w:rsid w:val="72AF4A56"/>
    <w:rsid w:val="72DF1AB0"/>
    <w:rsid w:val="7303577B"/>
    <w:rsid w:val="730B5005"/>
    <w:rsid w:val="732B0626"/>
    <w:rsid w:val="73C4721C"/>
    <w:rsid w:val="73FE0E42"/>
    <w:rsid w:val="74314109"/>
    <w:rsid w:val="745B2A20"/>
    <w:rsid w:val="74911176"/>
    <w:rsid w:val="749E60E7"/>
    <w:rsid w:val="74F846EB"/>
    <w:rsid w:val="75061B64"/>
    <w:rsid w:val="755D4A2E"/>
    <w:rsid w:val="76044EAD"/>
    <w:rsid w:val="7614107A"/>
    <w:rsid w:val="763E50EE"/>
    <w:rsid w:val="76D07EF6"/>
    <w:rsid w:val="77565CA2"/>
    <w:rsid w:val="77CA4C87"/>
    <w:rsid w:val="78093CAC"/>
    <w:rsid w:val="78607595"/>
    <w:rsid w:val="788861F9"/>
    <w:rsid w:val="78CA023E"/>
    <w:rsid w:val="795D77B7"/>
    <w:rsid w:val="798049F2"/>
    <w:rsid w:val="79BD7ABA"/>
    <w:rsid w:val="7A2F7E05"/>
    <w:rsid w:val="7AAA5956"/>
    <w:rsid w:val="7AAC015C"/>
    <w:rsid w:val="7AB5242F"/>
    <w:rsid w:val="7AF62CDF"/>
    <w:rsid w:val="7AF87737"/>
    <w:rsid w:val="7B0B1932"/>
    <w:rsid w:val="7B1D2DF5"/>
    <w:rsid w:val="7B292635"/>
    <w:rsid w:val="7B2A3C6E"/>
    <w:rsid w:val="7B5629F9"/>
    <w:rsid w:val="7B871525"/>
    <w:rsid w:val="7C3073CD"/>
    <w:rsid w:val="7C43188B"/>
    <w:rsid w:val="7D236D81"/>
    <w:rsid w:val="7D2C2DAC"/>
    <w:rsid w:val="7DA82D60"/>
    <w:rsid w:val="7E1249E7"/>
    <w:rsid w:val="7E3C2D09"/>
    <w:rsid w:val="7E8779D6"/>
    <w:rsid w:val="7EEA25C1"/>
    <w:rsid w:val="7FAE75F4"/>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autoRedefine/>
    <w:qFormat/>
    <w:uiPriority w:val="0"/>
    <w:pPr>
      <w:keepNext/>
      <w:keepLines/>
      <w:spacing w:line="560" w:lineRule="exact"/>
      <w:ind w:firstLine="880" w:firstLineChars="200"/>
      <w:outlineLvl w:val="1"/>
    </w:pPr>
    <w:rPr>
      <w:rFonts w:ascii="Arial" w:hAnsi="Arial" w:eastAsia="黑体" w:cs="宋体"/>
      <w:sz w:val="32"/>
      <w:szCs w:val="22"/>
    </w:rPr>
  </w:style>
  <w:style w:type="paragraph" w:styleId="4">
    <w:name w:val="heading 3"/>
    <w:basedOn w:val="1"/>
    <w:next w:val="1"/>
    <w:autoRedefine/>
    <w:unhideWhenUsed/>
    <w:qFormat/>
    <w:uiPriority w:val="0"/>
    <w:pPr>
      <w:snapToGrid w:val="0"/>
      <w:spacing w:line="580" w:lineRule="exact"/>
      <w:ind w:firstLine="560" w:firstLineChars="200"/>
      <w:jc w:val="left"/>
      <w:outlineLvl w:val="2"/>
    </w:pPr>
    <w:rPr>
      <w:rFonts w:hint="eastAsia" w:ascii="宋体" w:hAnsi="宋体" w:eastAsia="楷体"/>
      <w:kern w:val="0"/>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autoRedefine/>
    <w:qFormat/>
    <w:uiPriority w:val="0"/>
    <w:pPr>
      <w:jc w:val="left"/>
    </w:pPr>
  </w:style>
  <w:style w:type="paragraph" w:styleId="6">
    <w:name w:val="Body Text Indent"/>
    <w:autoRedefine/>
    <w:qFormat/>
    <w:uiPriority w:val="99"/>
    <w:pPr>
      <w:spacing w:after="120"/>
      <w:ind w:left="420" w:leftChars="200"/>
    </w:pPr>
    <w:rPr>
      <w:rFonts w:ascii="Calibri" w:hAnsi="Calibri" w:eastAsia="宋体" w:cs="Times New Roman"/>
      <w:lang w:val="en-US" w:eastAsia="zh-CN" w:bidi="ar-SA"/>
    </w:rPr>
  </w:style>
  <w:style w:type="paragraph" w:styleId="7">
    <w:name w:val="Balloon Text"/>
    <w:basedOn w:val="1"/>
    <w:link w:val="20"/>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link w:val="21"/>
    <w:autoRedefine/>
    <w:qFormat/>
    <w:uiPriority w:val="0"/>
    <w:rPr>
      <w:b/>
      <w:bCs/>
    </w:rPr>
  </w:style>
  <w:style w:type="character" w:styleId="14">
    <w:name w:val="Strong"/>
    <w:basedOn w:val="13"/>
    <w:qFormat/>
    <w:uiPriority w:val="22"/>
    <w:rPr>
      <w:b/>
    </w:rPr>
  </w:style>
  <w:style w:type="character" w:styleId="15">
    <w:name w:val="annotation reference"/>
    <w:autoRedefine/>
    <w:qFormat/>
    <w:uiPriority w:val="0"/>
    <w:rPr>
      <w:sz w:val="21"/>
      <w:szCs w:val="21"/>
    </w:rPr>
  </w:style>
  <w:style w:type="character" w:customStyle="1" w:styleId="16">
    <w:name w:val="页脚 Char"/>
    <w:link w:val="8"/>
    <w:autoRedefine/>
    <w:qFormat/>
    <w:uiPriority w:val="99"/>
    <w:rPr>
      <w:kern w:val="2"/>
      <w:sz w:val="18"/>
    </w:rPr>
  </w:style>
  <w:style w:type="character" w:customStyle="1" w:styleId="17">
    <w:name w:val="页码 New"/>
    <w:basedOn w:val="13"/>
    <w:autoRedefine/>
    <w:qFormat/>
    <w:uiPriority w:val="0"/>
  </w:style>
  <w:style w:type="character" w:customStyle="1" w:styleId="18">
    <w:name w:val="页码 New New"/>
    <w:basedOn w:val="13"/>
    <w:autoRedefine/>
    <w:qFormat/>
    <w:uiPriority w:val="0"/>
  </w:style>
  <w:style w:type="character" w:customStyle="1" w:styleId="19">
    <w:name w:val="页码 New New New"/>
    <w:basedOn w:val="13"/>
    <w:autoRedefine/>
    <w:qFormat/>
    <w:uiPriority w:val="0"/>
  </w:style>
  <w:style w:type="character" w:customStyle="1" w:styleId="20">
    <w:name w:val="批注框文本 Char"/>
    <w:link w:val="7"/>
    <w:autoRedefine/>
    <w:qFormat/>
    <w:uiPriority w:val="0"/>
    <w:rPr>
      <w:kern w:val="2"/>
      <w:sz w:val="18"/>
      <w:szCs w:val="18"/>
    </w:rPr>
  </w:style>
  <w:style w:type="character" w:customStyle="1" w:styleId="21">
    <w:name w:val="批注主题 Char"/>
    <w:link w:val="11"/>
    <w:autoRedefine/>
    <w:qFormat/>
    <w:uiPriority w:val="0"/>
    <w:rPr>
      <w:b/>
      <w:bCs/>
      <w:kern w:val="2"/>
      <w:sz w:val="21"/>
    </w:rPr>
  </w:style>
  <w:style w:type="character" w:customStyle="1" w:styleId="22">
    <w:name w:val="批注文字 Char"/>
    <w:link w:val="5"/>
    <w:autoRedefine/>
    <w:qFormat/>
    <w:uiPriority w:val="0"/>
    <w:rPr>
      <w:kern w:val="2"/>
      <w:sz w:val="21"/>
    </w:rPr>
  </w:style>
  <w:style w:type="character" w:customStyle="1" w:styleId="23">
    <w:name w:val="页码 New New New New"/>
    <w:basedOn w:val="13"/>
    <w:autoRedefine/>
    <w:qFormat/>
    <w:uiPriority w:val="0"/>
  </w:style>
  <w:style w:type="paragraph" w:customStyle="1" w:styleId="24">
    <w:name w:val="正文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5">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页眉1"/>
    <w:basedOn w:val="1"/>
    <w:autoRedefine/>
    <w:qFormat/>
    <w:uiPriority w:val="99"/>
    <w:pPr>
      <w:pBdr>
        <w:bottom w:val="single" w:color="auto" w:sz="6" w:space="1"/>
      </w:pBdr>
      <w:tabs>
        <w:tab w:val="center" w:pos="4153"/>
        <w:tab w:val="right" w:pos="8306"/>
      </w:tabs>
      <w:snapToGrid w:val="0"/>
      <w:jc w:val="right"/>
    </w:pPr>
    <w:rPr>
      <w:rFonts w:hint="eastAsia"/>
    </w:rPr>
  </w:style>
  <w:style w:type="paragraph" w:customStyle="1" w:styleId="28">
    <w:name w:val="页眉 New"/>
    <w:basedOn w:val="2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9">
    <w:name w:val="页脚 New New New"/>
    <w:basedOn w:val="30"/>
    <w:autoRedefine/>
    <w:qFormat/>
    <w:uiPriority w:val="0"/>
    <w:pPr>
      <w:tabs>
        <w:tab w:val="center" w:pos="4153"/>
        <w:tab w:val="right" w:pos="8306"/>
      </w:tabs>
      <w:snapToGrid w:val="0"/>
      <w:jc w:val="left"/>
    </w:pPr>
    <w:rPr>
      <w:sz w:val="18"/>
    </w:rPr>
  </w:style>
  <w:style w:type="paragraph" w:customStyle="1" w:styleId="30">
    <w:name w:val="正文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1">
    <w:name w:val="页眉 New New"/>
    <w:basedOn w:val="3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2">
    <w:name w:val="正文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
    <w:name w:val="正文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
    <w:name w:val="页脚 New"/>
    <w:basedOn w:val="25"/>
    <w:autoRedefine/>
    <w:qFormat/>
    <w:uiPriority w:val="0"/>
    <w:pPr>
      <w:tabs>
        <w:tab w:val="center" w:pos="4153"/>
        <w:tab w:val="right" w:pos="8306"/>
      </w:tabs>
      <w:snapToGrid w:val="0"/>
      <w:jc w:val="left"/>
    </w:pPr>
    <w:rPr>
      <w:sz w:val="18"/>
      <w:szCs w:val="18"/>
    </w:rPr>
  </w:style>
  <w:style w:type="paragraph" w:customStyle="1" w:styleId="35">
    <w:name w:val="页脚1"/>
    <w:basedOn w:val="1"/>
    <w:autoRedefine/>
    <w:qFormat/>
    <w:uiPriority w:val="99"/>
    <w:pPr>
      <w:tabs>
        <w:tab w:val="center" w:pos="4153"/>
        <w:tab w:val="right" w:pos="8306"/>
      </w:tabs>
      <w:snapToGrid w:val="0"/>
      <w:jc w:val="right"/>
    </w:pPr>
    <w:rPr>
      <w:rFonts w:hint="eastAsia"/>
    </w:rPr>
  </w:style>
  <w:style w:type="paragraph" w:customStyle="1" w:styleId="36">
    <w:name w:val="正文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7">
    <w:name w:val="页脚 New New"/>
    <w:basedOn w:val="24"/>
    <w:autoRedefine/>
    <w:qFormat/>
    <w:uiPriority w:val="0"/>
    <w:pPr>
      <w:tabs>
        <w:tab w:val="center" w:pos="4153"/>
        <w:tab w:val="right" w:pos="8306"/>
      </w:tabs>
      <w:snapToGrid w:val="0"/>
      <w:jc w:val="left"/>
    </w:pPr>
    <w:rPr>
      <w:sz w:val="18"/>
    </w:rPr>
  </w:style>
  <w:style w:type="paragraph" w:customStyle="1" w:styleId="38">
    <w:name w:val="页脚 New New New New"/>
    <w:basedOn w:val="39"/>
    <w:autoRedefine/>
    <w:qFormat/>
    <w:uiPriority w:val="0"/>
    <w:pPr>
      <w:tabs>
        <w:tab w:val="center" w:pos="4153"/>
        <w:tab w:val="right" w:pos="8306"/>
      </w:tabs>
      <w:snapToGrid w:val="0"/>
      <w:jc w:val="left"/>
    </w:pPr>
    <w:rPr>
      <w:sz w:val="18"/>
      <w:szCs w:val="18"/>
    </w:rPr>
  </w:style>
  <w:style w:type="paragraph" w:customStyle="1" w:styleId="39">
    <w:name w:val="正文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styleId="40">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41">
    <w:name w:val="修订1"/>
    <w:autoRedefine/>
    <w:qFormat/>
    <w:uiPriority w:val="99"/>
    <w:rPr>
      <w:rFonts w:ascii="Calibri" w:hAnsi="Calibri" w:eastAsia="宋体" w:cs="Times New Roman"/>
      <w:kern w:val="2"/>
      <w:sz w:val="21"/>
      <w:lang w:val="en-US" w:eastAsia="zh-CN" w:bidi="ar-SA"/>
    </w:rPr>
  </w:style>
  <w:style w:type="paragraph" w:customStyle="1" w:styleId="42">
    <w:name w:val="正文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3">
    <w:name w:val="正文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4">
    <w:name w:val="正文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5">
    <w:name w:val="正文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6">
    <w:name w:val="正文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7">
    <w:name w:val="正文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8">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49">
    <w:name w:val="标题 2 Char"/>
    <w:basedOn w:val="13"/>
    <w:link w:val="3"/>
    <w:autoRedefine/>
    <w:qFormat/>
    <w:uiPriority w:val="0"/>
    <w:rPr>
      <w:rFonts w:ascii="Arial" w:hAnsi="Arial" w:eastAsia="黑体" w:cs="宋体"/>
      <w:kern w:val="2"/>
      <w:sz w:val="32"/>
      <w:szCs w:val="22"/>
    </w:rPr>
  </w:style>
  <w:style w:type="character" w:customStyle="1" w:styleId="50">
    <w:name w:val="标题 1 Char"/>
    <w:basedOn w:val="13"/>
    <w:link w:val="2"/>
    <w:autoRedefine/>
    <w:qFormat/>
    <w:uiPriority w:val="9"/>
    <w:rPr>
      <w:rFonts w:ascii="Calibri" w:hAnsi="Calibri"/>
      <w:b/>
      <w:bCs/>
      <w:kern w:val="44"/>
      <w:sz w:val="44"/>
      <w:szCs w:val="44"/>
    </w:rPr>
  </w:style>
  <w:style w:type="paragraph" w:customStyle="1" w:styleId="51">
    <w:name w:val="_Style 6"/>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1833</Words>
  <Characters>1978</Characters>
  <Lines>14</Lines>
  <Paragraphs>4</Paragraphs>
  <TotalTime>69</TotalTime>
  <ScaleCrop>false</ScaleCrop>
  <LinksUpToDate>false</LinksUpToDate>
  <CharactersWithSpaces>2061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2024-12-04T09:00:00Z</dcterms:created>
  <dc:creator>Administrator</dc:creator>
  <cp:lastModifiedBy>郭辉</cp:lastModifiedBy>
  <cp:lastPrinted>2025-05-26T09:15:00Z</cp:lastPrinted>
  <dcterms:modified xsi:type="dcterms:W3CDTF">2025-05-26T09:29:09Z</dcterms:modified>
  <dc:title>投资者关系活动记录表</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09C86582DAF646F1AE600FE52B9D136F_13</vt:lpwstr>
  </property>
  <property fmtid="{D5CDD505-2E9C-101B-9397-08002B2CF9AE}" pid="4" name="KSOTemplateDocerSaveRecord">
    <vt:lpwstr>eyJoZGlkIjoiOTYzYjg5NzJmMjE3YWM3NWQ2Mzg1MDAyNjc5MjRlMDMiLCJ1c2VySWQiOiIxNjE4NDcyNzA4In0=</vt:lpwstr>
  </property>
</Properties>
</file>