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A81DA7">
      <w:pPr>
        <w:jc w:val="center"/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健尔康医疗科技股份有限公司</w:t>
      </w:r>
    </w:p>
    <w:p w14:paraId="2E8677E5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投资者关系活动记录表</w:t>
      </w:r>
    </w:p>
    <w:p w14:paraId="77B25911">
      <w:pPr>
        <w:spacing w:line="360" w:lineRule="auto"/>
        <w:rPr>
          <w:rFonts w:hint="default" w:eastAsia="宋体"/>
          <w:b/>
          <w:bCs/>
          <w:color w:val="000000"/>
          <w:lang w:val="en-US" w:eastAsia="zh-CN"/>
        </w:rPr>
      </w:pPr>
      <w:r>
        <w:rPr>
          <w:rFonts w:hint="eastAsia"/>
          <w:b/>
          <w:bCs/>
          <w:szCs w:val="24"/>
        </w:rPr>
        <w:t>证券简称：</w:t>
      </w:r>
      <w:r>
        <w:rPr>
          <w:rFonts w:hint="eastAsia"/>
          <w:b/>
          <w:bCs/>
          <w:color w:val="000000"/>
          <w:lang w:val="en-US" w:eastAsia="zh-CN"/>
        </w:rPr>
        <w:t>健尔康</w:t>
      </w:r>
      <w:r>
        <w:rPr>
          <w:rFonts w:hint="eastAsia"/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   </w:t>
      </w:r>
      <w:r>
        <w:rPr>
          <w:rFonts w:hint="eastAsia"/>
          <w:b/>
          <w:bCs/>
          <w:szCs w:val="24"/>
          <w:lang w:val="en-US" w:eastAsia="zh-CN"/>
        </w:rPr>
        <w:t xml:space="preserve">      </w:t>
      </w:r>
      <w:r>
        <w:rPr>
          <w:rFonts w:hint="eastAsia"/>
          <w:b/>
          <w:bCs/>
          <w:szCs w:val="24"/>
        </w:rPr>
        <w:t>证券代码：</w:t>
      </w:r>
      <w:r>
        <w:rPr>
          <w:rFonts w:hint="eastAsia"/>
          <w:b/>
          <w:bCs/>
          <w:color w:val="000000"/>
          <w:lang w:val="en-US" w:eastAsia="zh-CN"/>
        </w:rPr>
        <w:t>603205</w:t>
      </w:r>
      <w:r>
        <w:rPr>
          <w:b/>
          <w:bCs/>
          <w:szCs w:val="24"/>
        </w:rPr>
        <w:t xml:space="preserve">      </w:t>
      </w:r>
      <w:r>
        <w:rPr>
          <w:rFonts w:hint="eastAsia"/>
          <w:b/>
          <w:bCs/>
          <w:szCs w:val="24"/>
          <w:lang w:val="en-US" w:eastAsia="zh-CN"/>
        </w:rPr>
        <w:t xml:space="preserve">     </w:t>
      </w:r>
      <w:r>
        <w:rPr>
          <w:rFonts w:hint="eastAsia"/>
          <w:b/>
          <w:bCs/>
          <w:szCs w:val="24"/>
        </w:rPr>
        <w:t>编号：</w:t>
      </w:r>
      <w:r>
        <w:rPr>
          <w:rFonts w:hint="eastAsia"/>
          <w:b/>
          <w:bCs/>
          <w:color w:val="000000"/>
          <w:lang w:val="en-US" w:eastAsia="zh-CN"/>
        </w:rPr>
        <w:t>2025-001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891"/>
      </w:tblGrid>
      <w:tr w14:paraId="13DD6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 w14:paraId="100FC8F4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投资者关系活动</w:t>
            </w:r>
          </w:p>
          <w:p w14:paraId="489D0225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类别</w:t>
            </w:r>
          </w:p>
        </w:tc>
        <w:tc>
          <w:tcPr>
            <w:tcW w:w="5891" w:type="dxa"/>
            <w:vAlign w:val="center"/>
          </w:tcPr>
          <w:p w14:paraId="4A68268C">
            <w:pPr>
              <w:spacing w:line="360" w:lineRule="auto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 xml:space="preserve">□特定对象调研 </w:t>
            </w:r>
            <w:r>
              <w:rPr>
                <w:rFonts w:ascii="宋体" w:hAnsi="宋体"/>
                <w:szCs w:val="24"/>
              </w:rPr>
              <w:t xml:space="preserve">   </w:t>
            </w:r>
            <w:r>
              <w:rPr>
                <w:rFonts w:hint="eastAsia" w:ascii="宋体" w:hAnsi="宋体"/>
                <w:szCs w:val="24"/>
              </w:rPr>
              <w:t>□分析师会议</w:t>
            </w:r>
          </w:p>
          <w:p w14:paraId="189BB249">
            <w:pPr>
              <w:spacing w:line="360" w:lineRule="auto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 xml:space="preserve">□媒体采访 </w:t>
            </w:r>
            <w:r>
              <w:rPr>
                <w:rFonts w:ascii="宋体" w:hAnsi="宋体"/>
                <w:szCs w:val="24"/>
              </w:rPr>
              <w:t xml:space="preserve">       </w:t>
            </w:r>
            <w:r>
              <w:rPr>
                <w:rFonts w:hint="eastAsia" w:ascii="宋体" w:hAnsi="宋体"/>
                <w:szCs w:val="24"/>
              </w:rPr>
              <w:t>□业绩说明会</w:t>
            </w:r>
          </w:p>
          <w:p w14:paraId="281363CD">
            <w:pPr>
              <w:spacing w:line="360" w:lineRule="auto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 xml:space="preserve">□新闻发布会 </w:t>
            </w:r>
            <w:r>
              <w:rPr>
                <w:rFonts w:ascii="宋体" w:hAnsi="宋体"/>
                <w:szCs w:val="24"/>
              </w:rPr>
              <w:t xml:space="preserve">     </w:t>
            </w:r>
            <w:r>
              <w:rPr>
                <w:rFonts w:hint="eastAsia" w:ascii="宋体" w:hAnsi="宋体"/>
                <w:szCs w:val="24"/>
              </w:rPr>
              <w:t>□路演活动</w:t>
            </w:r>
          </w:p>
          <w:p w14:paraId="0AE87BAE">
            <w:pPr>
              <w:spacing w:line="360" w:lineRule="auto"/>
              <w:rPr>
                <w:szCs w:val="24"/>
              </w:rPr>
            </w:pPr>
            <w:r>
              <w:rPr>
                <w:rFonts w:hint="eastAsia" w:ascii="宋体" w:hAnsi="宋体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szCs w:val="24"/>
              </w:rPr>
              <w:t>现场参观□其他（</w:t>
            </w:r>
            <w:r>
              <w:rPr>
                <w:rFonts w:hint="eastAsia" w:ascii="宋体" w:hAnsi="宋体"/>
                <w:szCs w:val="24"/>
                <w:u w:val="thick"/>
              </w:rPr>
              <w:t>请文字说明其他活动内容</w:t>
            </w:r>
            <w:r>
              <w:rPr>
                <w:rFonts w:hint="eastAsia" w:ascii="宋体" w:hAnsi="宋体"/>
                <w:szCs w:val="24"/>
              </w:rPr>
              <w:t>）</w:t>
            </w:r>
          </w:p>
        </w:tc>
      </w:tr>
      <w:tr w14:paraId="41E8D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2405" w:type="dxa"/>
            <w:vAlign w:val="center"/>
          </w:tcPr>
          <w:p w14:paraId="30692496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参与单位名称</w:t>
            </w:r>
          </w:p>
          <w:p w14:paraId="4CAD6542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及人员姓名</w:t>
            </w:r>
          </w:p>
        </w:tc>
        <w:tc>
          <w:tcPr>
            <w:tcW w:w="5891" w:type="dxa"/>
            <w:vAlign w:val="center"/>
          </w:tcPr>
          <w:p w14:paraId="61423F0A">
            <w:pPr>
              <w:spacing w:line="360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1、中信建投 朱琪璋</w:t>
            </w:r>
          </w:p>
          <w:p w14:paraId="663257C4">
            <w:pPr>
              <w:spacing w:line="360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2、中信建投 薛姣</w:t>
            </w:r>
          </w:p>
          <w:p w14:paraId="51D18744">
            <w:pPr>
              <w:spacing w:line="360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3、和谐汇一 陈凯</w:t>
            </w:r>
          </w:p>
          <w:p w14:paraId="0EFD8DDE">
            <w:pPr>
              <w:spacing w:line="360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4</w:t>
            </w:r>
            <w:r>
              <w:rPr>
                <w:rFonts w:hint="eastAsia"/>
                <w:color w:val="000000"/>
              </w:rPr>
              <w:t>、嘉实基金 刘康平</w:t>
            </w:r>
          </w:p>
          <w:p w14:paraId="67264318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color w:val="000000"/>
                <w:lang w:val="en-US" w:eastAsia="zh-CN"/>
              </w:rPr>
              <w:t>5</w:t>
            </w:r>
            <w:r>
              <w:rPr>
                <w:rFonts w:hint="eastAsia"/>
                <w:color w:val="000000"/>
              </w:rPr>
              <w:t>、东方证券自营 刘迎</w:t>
            </w:r>
          </w:p>
        </w:tc>
      </w:tr>
      <w:tr w14:paraId="475D8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 w14:paraId="1C3E30F7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时间</w:t>
            </w:r>
          </w:p>
        </w:tc>
        <w:tc>
          <w:tcPr>
            <w:tcW w:w="5891" w:type="dxa"/>
            <w:vAlign w:val="center"/>
          </w:tcPr>
          <w:p w14:paraId="18E94089">
            <w:pPr>
              <w:spacing w:line="360" w:lineRule="auto"/>
              <w:rPr>
                <w:rFonts w:hint="default" w:eastAsia="宋体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2025.5.26</w:t>
            </w:r>
          </w:p>
        </w:tc>
      </w:tr>
      <w:tr w14:paraId="7EEFF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405" w:type="dxa"/>
            <w:vAlign w:val="center"/>
          </w:tcPr>
          <w:p w14:paraId="69594587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地点</w:t>
            </w:r>
          </w:p>
        </w:tc>
        <w:tc>
          <w:tcPr>
            <w:tcW w:w="5891" w:type="dxa"/>
            <w:vAlign w:val="center"/>
          </w:tcPr>
          <w:p w14:paraId="20CD4C2C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color w:val="000000"/>
              </w:rPr>
              <w:t>江苏省常州市金坛区直溪镇工业集中区健尔康路1号</w:t>
            </w:r>
          </w:p>
        </w:tc>
      </w:tr>
      <w:tr w14:paraId="08D58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 w14:paraId="580A8372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上市公司接待人员</w:t>
            </w:r>
          </w:p>
          <w:p w14:paraId="2661A0A1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姓名</w:t>
            </w:r>
          </w:p>
        </w:tc>
        <w:tc>
          <w:tcPr>
            <w:tcW w:w="5891" w:type="dxa"/>
            <w:vAlign w:val="center"/>
          </w:tcPr>
          <w:p w14:paraId="055CD759">
            <w:pPr>
              <w:spacing w:line="360" w:lineRule="auto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董事长、总经理：陈国平</w:t>
            </w:r>
          </w:p>
          <w:p w14:paraId="0A5C0FC4">
            <w:pPr>
              <w:spacing w:line="360" w:lineRule="auto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董事会秘书：刘平</w:t>
            </w:r>
          </w:p>
          <w:p w14:paraId="3B7465D8">
            <w:pPr>
              <w:spacing w:line="360" w:lineRule="auto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证券事务代表：唐瑄</w:t>
            </w:r>
          </w:p>
        </w:tc>
      </w:tr>
      <w:tr w14:paraId="5206F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5" w:hRule="atLeast"/>
        </w:trPr>
        <w:tc>
          <w:tcPr>
            <w:tcW w:w="2405" w:type="dxa"/>
            <w:vAlign w:val="center"/>
          </w:tcPr>
          <w:p w14:paraId="0378EA3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投资者关系活动主要内容介绍</w:t>
            </w:r>
          </w:p>
        </w:tc>
        <w:tc>
          <w:tcPr>
            <w:tcW w:w="5891" w:type="dxa"/>
            <w:vAlign w:val="center"/>
          </w:tcPr>
          <w:p w14:paraId="7DBA93A1">
            <w:pPr>
              <w:pStyle w:val="1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1、医用敷料发展前景，公司对市场未来的看法？</w:t>
            </w:r>
          </w:p>
          <w:p w14:paraId="044D95A1">
            <w:pPr>
              <w:pStyle w:val="16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用敷料作为低值医用耗材的重要细分领域，正处于快速发展阶段，市场前景十分广阔。从市场规模来看，2022年全球伤口敷料市场规模为137亿美元，其中高端敷料占比54.47%，市场规模达74.6亿美元。预计到2030年，全球伤口敷料市场规模将增长至190亿美元，年复合增长率为4.14%，高端敷料市场规模预计达106亿美元。在国内，2023年，国内医用敷料市场规模约为123.71亿元，较上一年同比增长 13.64% 。到2024年，这一规模进一步增长至265亿元。预计 2025年，国内医用敷料市场规模有望达到291亿元。​</w:t>
            </w:r>
          </w:p>
          <w:p w14:paraId="795B1302">
            <w:pPr>
              <w:pStyle w:val="16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同时，多种因素推动着医用敷料市场需求持续增长。全球老龄化进程不断推进，慢性疾病患者增多以及各类创伤事故频发，都使得医用敷料的需求日益旺盛。在国内，居民健康意识的提升以及医疗保障体系的不断完善，为市场发展提供了广阔空间。同时，医疗保障体系的完善及医疗卫生支出的增长，拉动了医用敷料市场需求。</w:t>
            </w:r>
          </w:p>
          <w:p w14:paraId="7231784B">
            <w:pPr>
              <w:pStyle w:val="16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从产品类型上看，传统医用敷料如纱布、药棉等仍占据较大市场份额，但高端现代敷料，像疤痕敷料、透明敷料等逐渐备受欢迎。随着医美意识的普及与医疗技术的革新，高端敷料市场正在崛起。</w:t>
            </w:r>
          </w:p>
          <w:p w14:paraId="1D07ECEC">
            <w:pPr>
              <w:pStyle w:val="16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行业发展趋势方面，未来医用敷料行业集中度将不断提高。随着行业标准的完善和监管体系的建立，行业准入门槛提高。同时，国内综合成本攀升，拥有规模化生产运营能力的企业才能有效控制成本。同时，高端敷料的研发及认证试验需大量投入，只有领先企业才能获取发展所需的资金、人才等资源，市场份额将向业内领先的企业集中。​</w:t>
            </w:r>
          </w:p>
          <w:p w14:paraId="755350C8">
            <w:pPr>
              <w:pStyle w:val="16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口方面，中国是医用敷料生产和出口大国，2023年出口市场出现下降，出口金额为19.88亿美元，同比下降13.7%，这可能与全球经济形势的不确定性、国际贸易环境变化及市场需求变化等因素有关。2024年以来国际市场需求逐步回暖，在经历 2023年的下滑后，重新回到增长轨道，展现出行业的潜力。总体而言，医用敷料市场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需求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增长，有望持续发展，尤其是高端敷料领域蕴含着较大的发展潜力。</w:t>
            </w:r>
          </w:p>
          <w:p w14:paraId="2441FBBD">
            <w:pPr>
              <w:pStyle w:val="16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2、如何保持公司的快速增长？</w:t>
            </w:r>
          </w:p>
          <w:p w14:paraId="7CEE3753"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公司在国内外市场积累了较高的知名度，与多家国际知名医用敷料品牌商建立了长期稳定战略合作关系，丰富且稳定的客户资源，推动公司管理能力和技术实力持续提升，为公司市场开拓和下游客户积累提供了强有力的支撑，保证了公司持续稳定的经营和发展。</w:t>
            </w:r>
          </w:p>
          <w:p w14:paraId="51573FD3"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公司坚持以技术创新为核心驱动力，不断优化现有产品的性能和质量，提升产品附加值。通过创新研发，公司在保持对现有产品创新、工艺升级的同时，凭借自身在医疗器械行业中积累的上下游优势，积极开发新产品，丰富产品矩阵，为不同客户群体提供更加全面的解决方案，增强公司在市场中的竞争力和市场份额。新产品涵盖先进伤口敷料（AWC）、清洁消毒类产品、护理类产品、高分子耗材等类别产品。</w:t>
            </w:r>
          </w:p>
          <w:p w14:paraId="098DFBA2"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未来，公司将持续巩固外销优势，在继续深入实施大客户战略的同时，将投入更多资源，开发欧美以外的其他国家或地区市场。另外，公司将更加积极深耕内销布局，进一步完善内销渠道体系，深化加强和药房、医院和电商等渠道的布局，打造完整内销渠道体系。</w:t>
            </w:r>
          </w:p>
          <w:p w14:paraId="3440A874">
            <w:pPr>
              <w:pStyle w:val="1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3、公司出口贸易业务中美国市场占比较大，请问公司如何应对关税问题？</w:t>
            </w:r>
          </w:p>
          <w:p w14:paraId="41C79E53">
            <w:pPr>
              <w:pStyle w:val="16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公司与美国客户均采用FOB上海港口交货方式。依据合同约定，海运费和关税均由客户承担。</w:t>
            </w:r>
          </w:p>
          <w:p w14:paraId="514478DF">
            <w:pPr>
              <w:pStyle w:val="1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面对美国国际贸易关税政策带来的挑战，公司多维度部署应对策略，全力保障经营稳定性与可持续发展：​</w:t>
            </w:r>
          </w:p>
          <w:p w14:paraId="1FD29A29">
            <w:pPr>
              <w:pStyle w:val="1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1）优化生产布局：基于对全球产业发展趋势和关税政策的综合研判，公司计划将部分产能逐步转移至东南亚地区，越南新厂作为关键布局节点，承载着产能优化与成本控制的重要使命，以此规避关税壁垒带来的成本冲击。​</w:t>
            </w:r>
          </w:p>
          <w:p w14:paraId="772F6C76">
            <w:pPr>
              <w:pStyle w:val="1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）推进市场多元化：为降低对单一市场的依赖，公司将削减外销业务对美国市场的依存度，重点开拓欧洲、日本、东南亚等潜力市场。通过分散市场布局，降低因特定地区政策变动引发的经营风险，构建更为稳健的市场格局。​</w:t>
            </w:r>
          </w:p>
          <w:p w14:paraId="36972444">
            <w:pPr>
              <w:pStyle w:val="1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（3）强化内部效能：公司坚持管理效益，一方面持续优化生产工艺，加大研发技改投入，推动生产技术升级；另一方面加强精细化管理，全面推进降本增效措施，提升企业内部运营效率与核心竞争力。​</w:t>
            </w:r>
          </w:p>
          <w:p w14:paraId="61165571">
            <w:pPr>
              <w:pStyle w:val="1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鉴于美国关税政策未来发展态势存在较大不确定性，公司将持续密切关注国际政治与贸易格局变化，与海外客户保持高频次、高质量的积极沟通，灵活调整经营策略，最大限度降低国际贸易摩擦带来的潜在风险。针对以上问题，公司正积极推进越南工厂建设。在成本管控层面，充分考量东南亚地区的人工成本优势，同时持续提升原材料供应链本土化率，优化整体成本结构。</w:t>
            </w:r>
          </w:p>
          <w:p w14:paraId="2E4994E3">
            <w:pPr>
              <w:pStyle w:val="16"/>
              <w:numPr>
                <w:ilvl w:val="0"/>
                <w:numId w:val="1"/>
              </w:num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公司继续投入研发，现阶段取得了哪些成果？</w:t>
            </w:r>
          </w:p>
          <w:p w14:paraId="4BF71882">
            <w:pPr>
              <w:pStyle w:val="16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司自成立以来，始终坚持以研发创新为发展的核心驱动力，持续进行研发投入，不断优化工艺水平、革新生产装备与技术，培养和吸引创新人才，打造了完善的研发体制，巩固了公司在医用敷料行业中的竞争地位。</w:t>
            </w:r>
          </w:p>
          <w:p w14:paraId="602DBAAE">
            <w:pPr>
              <w:pStyle w:val="16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公司在保持对现有产品创新、工艺升级的同时，凭借在自身在医疗器械行业中积累的上下游优势，积极加强新产品、新项目研发，涵盖先进伤口敷料（AWC）、清洁消毒类产品、护理类产品、高分子耗材等类别。</w:t>
            </w:r>
          </w:p>
          <w:p w14:paraId="47CDFDF9">
            <w:pPr>
              <w:pStyle w:val="16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截至2024年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，公司研发费用投入为4,072.05万元，较上一年度增加11.30%。公司及子公司新增发明专利2项，共拥有20项发明专利、30项实用新型专利、7 项外观设计专利，在优化现有产品的同时不断加强新品的开发，完成成果转化后形成新产品或相关专利，使得公司在技术研发层面更具有竞争力。</w:t>
            </w:r>
          </w:p>
          <w:p w14:paraId="635533BD">
            <w:pPr>
              <w:pStyle w:val="16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截至2024年末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，公司新增国内Ⅰ类医疗器械备案4项，Ⅱ类医疗器械注册5项，卫生消毒用品1项，美国药品验证号3项，美国FDA产品列明3项。</w:t>
            </w:r>
          </w:p>
          <w:p w14:paraId="29B08C21">
            <w:pPr>
              <w:pStyle w:val="1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5、介绍公司2025一季度经营情况。</w:t>
            </w:r>
          </w:p>
          <w:p w14:paraId="7233E741">
            <w:pPr>
              <w:pStyle w:val="16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2025年第一季度，公司营业总收入为2.41亿元，同比增长13.69%；归母净利润为2,880.51万元，同比增长15.42%；扣非净利润为2,779.76万元，同比增长14.58%。 2025年一季度展现出良好的经营态势，营收和净利润实现双增长，业务发展稳中有升，在市场环境变化中积极把握机遇。但同时也面临着国际市场波动等挑战，未来公司将持续加强研发创新、优化业务结构、拓展市场渠道。</w:t>
            </w:r>
          </w:p>
          <w:p w14:paraId="30255A5E">
            <w:pPr>
              <w:pStyle w:val="16"/>
              <w:ind w:firstLine="482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6、请问公司是否制定了中长期的分红规划？</w:t>
            </w:r>
          </w:p>
          <w:p w14:paraId="113E8E8F">
            <w:pPr>
              <w:pStyle w:val="16"/>
              <w:ind w:firstLine="48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为健全完善科学、稳定、持续的分红机制，充分保障股东的合理回报，公司制定了</w:t>
            </w:r>
            <w:bookmarkStart w:id="0" w:name="OLE_LINK1"/>
            <w:r>
              <w:rPr>
                <w:rFonts w:hint="eastAsia" w:ascii="宋体" w:hAnsi="宋体" w:eastAsia="宋体" w:cs="宋体"/>
                <w:sz w:val="24"/>
                <w:szCs w:val="24"/>
              </w:rPr>
              <w:t>中长期分红规划</w:t>
            </w:r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（具体见公司2024年年度报告）。公司实行积极、持续、稳定的利润分配政策，重视对投资者的合理投资回报并兼顾公司的可持续发展。</w:t>
            </w:r>
          </w:p>
          <w:p w14:paraId="08669E58">
            <w:pPr>
              <w:spacing w:line="360" w:lineRule="auto"/>
              <w:rPr>
                <w:szCs w:val="24"/>
              </w:rPr>
            </w:pPr>
          </w:p>
        </w:tc>
      </w:tr>
      <w:tr w14:paraId="65FC0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405" w:type="dxa"/>
            <w:vAlign w:val="center"/>
          </w:tcPr>
          <w:p w14:paraId="70BB2AF6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附件清单（如有）</w:t>
            </w:r>
          </w:p>
        </w:tc>
        <w:tc>
          <w:tcPr>
            <w:tcW w:w="5891" w:type="dxa"/>
            <w:vAlign w:val="center"/>
          </w:tcPr>
          <w:p w14:paraId="576C04AB">
            <w:pPr>
              <w:spacing w:line="360" w:lineRule="auto"/>
              <w:rPr>
                <w:rFonts w:hint="eastAsia" w:eastAsia="宋体"/>
                <w:szCs w:val="24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无</w:t>
            </w:r>
          </w:p>
        </w:tc>
      </w:tr>
      <w:tr w14:paraId="1FFFC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 w14:paraId="1037A1C3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日期</w:t>
            </w:r>
          </w:p>
        </w:tc>
        <w:tc>
          <w:tcPr>
            <w:tcW w:w="5891" w:type="dxa"/>
            <w:vAlign w:val="center"/>
          </w:tcPr>
          <w:p w14:paraId="414570A9">
            <w:pPr>
              <w:spacing w:line="360" w:lineRule="auto"/>
              <w:rPr>
                <w:rFonts w:hint="default" w:eastAsia="宋体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2025.5.26</w:t>
            </w:r>
          </w:p>
        </w:tc>
      </w:tr>
    </w:tbl>
    <w:p w14:paraId="0D86B504">
      <w:pPr>
        <w:spacing w:line="360" w:lineRule="auto"/>
        <w:rPr>
          <w:rFonts w:hint="eastAsia"/>
          <w:szCs w:val="24"/>
        </w:rPr>
      </w:pPr>
    </w:p>
    <w:p w14:paraId="3C7BB8F8">
      <w:pPr>
        <w:spacing w:line="360" w:lineRule="auto"/>
        <w:rPr>
          <w:rFonts w:hint="eastAsia"/>
          <w:szCs w:val="24"/>
        </w:rPr>
      </w:pPr>
    </w:p>
    <w:p w14:paraId="40BCEDC7">
      <w:pPr>
        <w:spacing w:line="360" w:lineRule="auto"/>
        <w:rPr>
          <w:rFonts w:hint="eastAsia"/>
          <w:szCs w:val="24"/>
        </w:rPr>
      </w:pPr>
    </w:p>
    <w:p w14:paraId="0B569B58">
      <w:pPr>
        <w:spacing w:line="360" w:lineRule="auto"/>
        <w:rPr>
          <w:rFonts w:hint="eastAsia"/>
          <w:szCs w:val="24"/>
        </w:rPr>
      </w:pPr>
    </w:p>
    <w:p w14:paraId="236C5FB3">
      <w:pPr>
        <w:spacing w:line="360" w:lineRule="auto"/>
        <w:rPr>
          <w:rFonts w:hint="eastAsia"/>
          <w:szCs w:val="24"/>
        </w:rPr>
      </w:pPr>
    </w:p>
    <w:p w14:paraId="5629823D">
      <w:pPr>
        <w:spacing w:line="360" w:lineRule="auto"/>
        <w:rPr>
          <w:rFonts w:hint="eastAsia"/>
          <w:szCs w:val="24"/>
        </w:rPr>
      </w:pPr>
    </w:p>
    <w:p w14:paraId="6DFC003A">
      <w:pPr>
        <w:spacing w:line="360" w:lineRule="auto"/>
        <w:rPr>
          <w:rFonts w:hint="eastAsia"/>
          <w:szCs w:val="24"/>
        </w:rPr>
      </w:pPr>
    </w:p>
    <w:p w14:paraId="6CC691DA">
      <w:pPr>
        <w:spacing w:line="360" w:lineRule="auto"/>
        <w:rPr>
          <w:rFonts w:hint="eastAsia"/>
          <w:szCs w:val="24"/>
        </w:rPr>
      </w:pPr>
    </w:p>
    <w:p w14:paraId="36270801">
      <w:pPr>
        <w:spacing w:line="360" w:lineRule="auto"/>
        <w:rPr>
          <w:rFonts w:hint="eastAsia"/>
          <w:szCs w:val="24"/>
        </w:rPr>
      </w:pPr>
    </w:p>
    <w:p w14:paraId="66E954D7">
      <w:pPr>
        <w:spacing w:line="360" w:lineRule="auto"/>
        <w:rPr>
          <w:rFonts w:hint="eastAsia"/>
          <w:szCs w:val="24"/>
        </w:rPr>
      </w:pPr>
    </w:p>
    <w:p w14:paraId="489F624D">
      <w:pPr>
        <w:spacing w:line="360" w:lineRule="auto"/>
        <w:rPr>
          <w:rFonts w:hint="eastAsia"/>
          <w:szCs w:val="24"/>
        </w:rPr>
      </w:pPr>
    </w:p>
    <w:p w14:paraId="3B9C743E">
      <w:pPr>
        <w:spacing w:line="360" w:lineRule="auto"/>
        <w:rPr>
          <w:rFonts w:hint="eastAsia"/>
          <w:szCs w:val="24"/>
        </w:rPr>
      </w:pPr>
    </w:p>
    <w:p w14:paraId="0E09159E">
      <w:pPr>
        <w:spacing w:line="360" w:lineRule="auto"/>
        <w:rPr>
          <w:rFonts w:hint="eastAsia"/>
          <w:szCs w:val="24"/>
        </w:rPr>
      </w:pPr>
    </w:p>
    <w:p w14:paraId="7228F6F8">
      <w:pPr>
        <w:spacing w:line="360" w:lineRule="auto"/>
        <w:rPr>
          <w:rFonts w:hint="eastAsia"/>
          <w:szCs w:val="24"/>
        </w:rPr>
      </w:pPr>
    </w:p>
    <w:p w14:paraId="305042B0">
      <w:pPr>
        <w:spacing w:line="360" w:lineRule="auto"/>
        <w:rPr>
          <w:rFonts w:hint="eastAsia"/>
          <w:szCs w:val="24"/>
        </w:rPr>
      </w:pPr>
    </w:p>
    <w:p w14:paraId="28433BA9">
      <w:pPr>
        <w:spacing w:line="360" w:lineRule="auto"/>
        <w:rPr>
          <w:rFonts w:hint="eastAsia"/>
          <w:szCs w:val="24"/>
        </w:rPr>
      </w:pPr>
    </w:p>
    <w:p w14:paraId="2539EFFD">
      <w:pPr>
        <w:spacing w:line="360" w:lineRule="auto"/>
        <w:rPr>
          <w:rFonts w:hint="eastAsia"/>
          <w:szCs w:val="24"/>
        </w:rPr>
      </w:pPr>
    </w:p>
    <w:p w14:paraId="107B9AE7">
      <w:pPr>
        <w:spacing w:line="360" w:lineRule="auto"/>
        <w:rPr>
          <w:rFonts w:hint="eastAsia"/>
          <w:szCs w:val="24"/>
        </w:rPr>
      </w:pPr>
    </w:p>
    <w:p w14:paraId="4B9152FD">
      <w:pPr>
        <w:spacing w:line="360" w:lineRule="auto"/>
        <w:rPr>
          <w:color w:val="000000"/>
          <w:szCs w:val="24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E00589"/>
    <w:multiLevelType w:val="singleLevel"/>
    <w:tmpl w:val="C2E00589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E46"/>
    <w:rsid w:val="0001611D"/>
    <w:rsid w:val="000B61FC"/>
    <w:rsid w:val="000D2872"/>
    <w:rsid w:val="000E1009"/>
    <w:rsid w:val="00171B17"/>
    <w:rsid w:val="001F0F88"/>
    <w:rsid w:val="0020500F"/>
    <w:rsid w:val="003A3A46"/>
    <w:rsid w:val="003F3C92"/>
    <w:rsid w:val="004754E9"/>
    <w:rsid w:val="004E40CA"/>
    <w:rsid w:val="004E4B5E"/>
    <w:rsid w:val="004F3F75"/>
    <w:rsid w:val="00513BB5"/>
    <w:rsid w:val="00536145"/>
    <w:rsid w:val="00597BE3"/>
    <w:rsid w:val="00773E29"/>
    <w:rsid w:val="00880942"/>
    <w:rsid w:val="009F4679"/>
    <w:rsid w:val="00A300B7"/>
    <w:rsid w:val="00AF3539"/>
    <w:rsid w:val="00B71EE6"/>
    <w:rsid w:val="00B748D0"/>
    <w:rsid w:val="00BF58EA"/>
    <w:rsid w:val="00DC0644"/>
    <w:rsid w:val="00DC5E46"/>
    <w:rsid w:val="00DF0742"/>
    <w:rsid w:val="00E9000F"/>
    <w:rsid w:val="163045C2"/>
    <w:rsid w:val="710D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批注框文本 字符"/>
    <w:basedOn w:val="9"/>
    <w:link w:val="3"/>
    <w:semiHidden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12">
    <w:name w:val="页眉 字符"/>
    <w:basedOn w:val="9"/>
    <w:link w:val="5"/>
    <w:uiPriority w:val="99"/>
    <w:rPr>
      <w:rFonts w:ascii="Times New Roman" w:hAnsi="Times New Roman" w:eastAsia="宋体"/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14">
    <w:name w:val="批注文字 字符"/>
    <w:basedOn w:val="9"/>
    <w:link w:val="2"/>
    <w:semiHidden/>
    <w:qFormat/>
    <w:uiPriority w:val="99"/>
    <w:rPr>
      <w:rFonts w:ascii="Times New Roman" w:hAnsi="Times New Roman" w:eastAsia="宋体"/>
      <w:kern w:val="2"/>
      <w:sz w:val="24"/>
      <w:szCs w:val="22"/>
    </w:rPr>
  </w:style>
  <w:style w:type="character" w:customStyle="1" w:styleId="15">
    <w:name w:val="批注主题 字符"/>
    <w:basedOn w:val="14"/>
    <w:link w:val="6"/>
    <w:semiHidden/>
    <w:uiPriority w:val="99"/>
    <w:rPr>
      <w:rFonts w:ascii="Times New Roman" w:hAnsi="Times New Roman" w:eastAsia="宋体"/>
      <w:b/>
      <w:bCs/>
      <w:kern w:val="2"/>
      <w:sz w:val="24"/>
      <w:szCs w:val="22"/>
    </w:rPr>
  </w:style>
  <w:style w:type="paragraph" w:customStyle="1" w:styleId="16">
    <w:name w:val="_Style 13"/>
    <w:qFormat/>
    <w:uiPriority w:val="0"/>
    <w:pPr>
      <w:spacing w:before="120" w:after="120" w:line="288" w:lineRule="auto"/>
    </w:pPr>
    <w:rPr>
      <w:rFonts w:ascii="Arial" w:hAnsi="Arial" w:eastAsia="等线" w:cs="Arial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238</Words>
  <Characters>238</Characters>
  <Lines>4</Lines>
  <Paragraphs>1</Paragraphs>
  <TotalTime>3</TotalTime>
  <ScaleCrop>false</ScaleCrop>
  <LinksUpToDate>false</LinksUpToDate>
  <CharactersWithSpaces>266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2020-08-31T03:54:00Z</dcterms:created>
  <dc:creator>荣大-李雷</dc:creator>
  <cp:lastModifiedBy>唐瑄</cp:lastModifiedBy>
  <cp:lastPrinted>2025-05-26T06:24:24Z</cp:lastPrinted>
  <dcterms:modified xsi:type="dcterms:W3CDTF">2025-05-28T06:53:03Z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4B3BE4D696E240C7850440AB59FFE857_13</vt:lpwstr>
  </property>
  <property fmtid="{D5CDD505-2E9C-101B-9397-08002B2CF9AE}" pid="4" name="KSOTemplateDocerSaveRecord">
    <vt:lpwstr>eyJoZGlkIjoiMjM5MjQ3YjFhMGUyODJlZWU3ZGMxZWE3NmJlNGRlNzEiLCJ1c2VySWQiOiIxNjIzOTMxMzQ3In0=</vt:lpwstr>
  </property>
</Properties>
</file>