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A4708">
      <w:pPr>
        <w:jc w:val="left"/>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600935</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公司简称：</w:t>
      </w:r>
      <w:r>
        <w:rPr>
          <w:rFonts w:hint="default" w:ascii="宋体" w:hAnsi="宋体"/>
          <w:sz w:val="24"/>
          <w:szCs w:val="24"/>
          <w:lang w:val="en-US"/>
        </w:rPr>
        <w:t>华塑股份</w:t>
      </w:r>
    </w:p>
    <w:p w14:paraId="65BCF88B">
      <w:pPr>
        <w:jc w:val="center"/>
        <w:rPr>
          <w:rFonts w:hint="eastAsia" w:ascii="黑体" w:hAnsi="黑体" w:eastAsia="黑体"/>
          <w:sz w:val="36"/>
          <w:szCs w:val="36"/>
        </w:rPr>
      </w:pPr>
      <w:r>
        <w:rPr>
          <w:rFonts w:hint="eastAsia" w:ascii="黑体" w:hAnsi="黑体" w:eastAsia="黑体"/>
          <w:sz w:val="36"/>
          <w:szCs w:val="36"/>
        </w:rPr>
        <w:t>安徽华塑股份有限公司</w:t>
      </w:r>
    </w:p>
    <w:p w14:paraId="08E57DCE">
      <w:pPr>
        <w:jc w:val="center"/>
        <w:rPr>
          <w:rFonts w:ascii="黑体" w:hAnsi="黑体" w:eastAsia="黑体"/>
          <w:sz w:val="36"/>
          <w:szCs w:val="36"/>
        </w:rPr>
      </w:pPr>
      <w:r>
        <w:rPr>
          <w:rFonts w:hint="eastAsia" w:ascii="黑体" w:hAnsi="黑体" w:eastAsia="黑体"/>
          <w:sz w:val="36"/>
          <w:szCs w:val="36"/>
        </w:rPr>
        <w:t>投资者关系活动记录表</w:t>
      </w:r>
    </w:p>
    <w:p w14:paraId="55F71AE7">
      <w:pPr>
        <w:jc w:val="center"/>
        <w:rPr>
          <w:rFonts w:ascii="黑体" w:hAnsi="黑体" w:eastAsia="黑体"/>
          <w:sz w:val="24"/>
          <w:szCs w:val="24"/>
        </w:rPr>
      </w:pPr>
    </w:p>
    <w:p w14:paraId="04466225">
      <w:pPr>
        <w:ind w:right="720"/>
        <w:jc w:val="right"/>
        <w:rPr>
          <w:rFonts w:hint="eastAsia" w:ascii="黑体" w:hAnsi="黑体" w:eastAsia="黑体"/>
          <w:sz w:val="24"/>
          <w:szCs w:val="24"/>
          <w:lang w:val="en-US" w:eastAsia="zh-CN"/>
        </w:rPr>
      </w:pPr>
      <w:r>
        <w:rPr>
          <w:rFonts w:hint="eastAsia" w:ascii="黑体" w:hAnsi="黑体" w:eastAsia="黑体"/>
          <w:sz w:val="24"/>
          <w:szCs w:val="24"/>
        </w:rPr>
        <w:t>编号：</w:t>
      </w:r>
      <w:r>
        <w:rPr>
          <w:rFonts w:hint="eastAsia" w:ascii="黑体" w:hAnsi="黑体" w:eastAsia="黑体"/>
          <w:sz w:val="24"/>
          <w:szCs w:val="24"/>
          <w:highlight w:val="none"/>
        </w:rPr>
        <w:t>2025-00</w:t>
      </w:r>
      <w:r>
        <w:rPr>
          <w:rFonts w:hint="eastAsia" w:ascii="黑体" w:hAnsi="黑体" w:eastAsia="黑体"/>
          <w:sz w:val="24"/>
          <w:szCs w:val="24"/>
          <w:highlight w:val="none"/>
          <w:lang w:val="en-US" w:eastAsia="zh-CN"/>
        </w:rPr>
        <w:t>2</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2DD49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1A998471">
            <w:pPr>
              <w:rPr>
                <w:sz w:val="24"/>
                <w:szCs w:val="24"/>
              </w:rPr>
            </w:pPr>
            <w:r>
              <w:rPr>
                <w:rFonts w:hint="eastAsia"/>
                <w:sz w:val="24"/>
                <w:szCs w:val="24"/>
              </w:rPr>
              <w:t>投资者关系活动类别</w:t>
            </w:r>
          </w:p>
        </w:tc>
        <w:tc>
          <w:tcPr>
            <w:tcW w:w="7191" w:type="dxa"/>
            <w:noWrap w:val="0"/>
            <w:vAlign w:val="center"/>
          </w:tcPr>
          <w:p w14:paraId="5FF13D6F">
            <w:pPr>
              <w:spacing w:line="360" w:lineRule="auto"/>
              <w:rPr>
                <w:rFonts w:hint="eastAsia"/>
                <w:sz w:val="24"/>
                <w:szCs w:val="24"/>
              </w:rPr>
            </w:pPr>
            <w:r>
              <w:rPr>
                <w:rFonts w:hint="eastAsia" w:ascii="宋体" w:hAnsi="宋体" w:eastAsia="宋体" w:cs="宋体"/>
                <w:sz w:val="24"/>
                <w:szCs w:val="24"/>
                <w:highlight w:val="none"/>
              </w:rPr>
              <w:t>业绩说明会</w:t>
            </w:r>
          </w:p>
        </w:tc>
      </w:tr>
      <w:tr w14:paraId="4390D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36B40984">
            <w:pPr>
              <w:rPr>
                <w:sz w:val="24"/>
                <w:szCs w:val="24"/>
              </w:rPr>
            </w:pPr>
            <w:r>
              <w:rPr>
                <w:rFonts w:hint="eastAsia"/>
                <w:sz w:val="24"/>
                <w:szCs w:val="24"/>
              </w:rPr>
              <w:t>活动主题</w:t>
            </w:r>
          </w:p>
        </w:tc>
        <w:tc>
          <w:tcPr>
            <w:tcW w:w="7191" w:type="dxa"/>
            <w:noWrap w:val="0"/>
            <w:vAlign w:val="center"/>
          </w:tcPr>
          <w:p w14:paraId="11BC9EF6">
            <w:pPr>
              <w:rPr>
                <w:sz w:val="24"/>
                <w:szCs w:val="24"/>
              </w:rPr>
            </w:pPr>
            <w:r>
              <w:rPr>
                <w:rFonts w:hint="eastAsia" w:ascii="宋体" w:hAnsi="宋体" w:eastAsia="宋体" w:cs="宋体"/>
                <w:bCs/>
                <w:iCs/>
                <w:color w:val="000000"/>
                <w:sz w:val="24"/>
                <w:highlight w:val="none"/>
                <w:lang w:val="en-GB"/>
              </w:rPr>
              <w:t>华塑股份2025年第一季度业绩说明会</w:t>
            </w:r>
          </w:p>
        </w:tc>
      </w:tr>
      <w:tr w14:paraId="34FDA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2CC62685">
            <w:pPr>
              <w:rPr>
                <w:sz w:val="24"/>
                <w:szCs w:val="24"/>
              </w:rPr>
            </w:pPr>
            <w:r>
              <w:rPr>
                <w:rFonts w:hint="eastAsia"/>
                <w:sz w:val="24"/>
                <w:szCs w:val="24"/>
              </w:rPr>
              <w:t>时间</w:t>
            </w:r>
          </w:p>
        </w:tc>
        <w:tc>
          <w:tcPr>
            <w:tcW w:w="7191" w:type="dxa"/>
            <w:noWrap w:val="0"/>
            <w:vAlign w:val="center"/>
          </w:tcPr>
          <w:p w14:paraId="7182C9E0">
            <w:pPr>
              <w:rPr>
                <w:rFonts w:hint="eastAsia"/>
                <w:sz w:val="24"/>
                <w:szCs w:val="24"/>
              </w:rPr>
            </w:pPr>
            <w:r>
              <w:rPr>
                <w:rFonts w:hint="eastAsia" w:ascii="宋体" w:hAnsi="宋体" w:eastAsia="宋体" w:cs="宋体"/>
                <w:bCs/>
                <w:iCs/>
                <w:color w:val="000000"/>
                <w:sz w:val="24"/>
                <w:highlight w:val="none"/>
              </w:rPr>
              <w:t>2025</w:t>
            </w:r>
            <w:r>
              <w:rPr>
                <w:rFonts w:hint="eastAsia" w:ascii="宋体" w:hAnsi="宋体" w:cs="宋体"/>
                <w:bCs/>
                <w:iCs/>
                <w:color w:val="000000"/>
                <w:sz w:val="24"/>
                <w:highlight w:val="none"/>
                <w:lang w:val="en-US" w:eastAsia="zh-CN"/>
              </w:rPr>
              <w:t>年</w:t>
            </w:r>
            <w:bookmarkStart w:id="0" w:name="_GoBack"/>
            <w:bookmarkEnd w:id="0"/>
            <w:r>
              <w:rPr>
                <w:rFonts w:hint="eastAsia" w:ascii="宋体" w:hAnsi="宋体" w:eastAsia="宋体" w:cs="宋体"/>
                <w:bCs/>
                <w:iCs/>
                <w:color w:val="000000"/>
                <w:sz w:val="24"/>
                <w:highlight w:val="none"/>
              </w:rPr>
              <w:t>5</w:t>
            </w:r>
            <w:r>
              <w:rPr>
                <w:rFonts w:hint="eastAsia" w:ascii="宋体" w:hAnsi="宋体" w:cs="宋体"/>
                <w:bCs/>
                <w:iCs/>
                <w:color w:val="000000"/>
                <w:sz w:val="24"/>
                <w:highlight w:val="none"/>
                <w:lang w:val="en-US" w:eastAsia="zh-CN"/>
              </w:rPr>
              <w:t>月</w:t>
            </w:r>
            <w:r>
              <w:rPr>
                <w:rFonts w:hint="eastAsia" w:ascii="宋体" w:hAnsi="宋体" w:eastAsia="宋体" w:cs="宋体"/>
                <w:bCs/>
                <w:iCs/>
                <w:color w:val="000000"/>
                <w:sz w:val="24"/>
                <w:highlight w:val="none"/>
              </w:rPr>
              <w:t>28</w:t>
            </w:r>
            <w:r>
              <w:rPr>
                <w:rFonts w:hint="eastAsia" w:ascii="宋体" w:hAnsi="宋体" w:cs="宋体"/>
                <w:bCs/>
                <w:iCs/>
                <w:color w:val="000000"/>
                <w:sz w:val="24"/>
                <w:highlight w:val="none"/>
                <w:lang w:val="en-US" w:eastAsia="zh-CN"/>
              </w:rPr>
              <w:t xml:space="preserve">日    </w:t>
            </w:r>
            <w:r>
              <w:rPr>
                <w:rFonts w:hint="eastAsia" w:ascii="宋体" w:hAnsi="宋体" w:eastAsia="宋体" w:cs="宋体"/>
                <w:bCs/>
                <w:iCs/>
                <w:color w:val="000000"/>
                <w:sz w:val="24"/>
                <w:highlight w:val="none"/>
              </w:rPr>
              <w:t>16:00-17:00</w:t>
            </w:r>
          </w:p>
        </w:tc>
      </w:tr>
      <w:tr w14:paraId="12999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41F9AE6F">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top"/>
          </w:tcPr>
          <w:p w14:paraId="689DF88A">
            <w:pPr>
              <w:rPr>
                <w:rFonts w:ascii="宋体" w:hAnsi="宋体"/>
                <w:bCs/>
                <w:sz w:val="24"/>
              </w:rPr>
            </w:pPr>
            <w:r>
              <w:rPr>
                <w:rFonts w:hint="eastAsia" w:ascii="宋体" w:hAnsi="宋体"/>
                <w:bCs/>
                <w:sz w:val="24"/>
              </w:rPr>
              <w:t xml:space="preserve">上证路演中心 </w:t>
            </w:r>
            <w:r>
              <w:fldChar w:fldCharType="begin"/>
            </w:r>
            <w:r>
              <w:instrText xml:space="preserve"> HYPERLINK "https://roadshow.sseinfo.com" </w:instrText>
            </w:r>
            <w:r>
              <w:fldChar w:fldCharType="separate"/>
            </w:r>
            <w:r>
              <w:rPr>
                <w:rStyle w:val="6"/>
                <w:rFonts w:hint="eastAsia" w:ascii="宋体" w:hAnsi="宋体"/>
                <w:bCs/>
                <w:sz w:val="24"/>
              </w:rPr>
              <w:t>https://roadshow.sseinfo.com</w:t>
            </w:r>
            <w:r>
              <w:rPr>
                <w:rStyle w:val="6"/>
                <w:rFonts w:hint="eastAsia" w:ascii="宋体" w:hAnsi="宋体"/>
                <w:bCs/>
                <w:sz w:val="24"/>
              </w:rPr>
              <w:fldChar w:fldCharType="end"/>
            </w:r>
          </w:p>
          <w:p w14:paraId="4BF36862">
            <w:pPr>
              <w:rPr>
                <w:rFonts w:hint="eastAsia"/>
                <w:sz w:val="24"/>
                <w:szCs w:val="24"/>
              </w:rPr>
            </w:pPr>
            <w:r>
              <w:rPr>
                <w:rFonts w:hint="eastAsia" w:ascii="宋体" w:hAnsi="宋体"/>
                <w:bCs/>
                <w:sz w:val="24"/>
              </w:rPr>
              <w:t>网络文字互动</w:t>
            </w:r>
          </w:p>
        </w:tc>
      </w:tr>
      <w:tr w14:paraId="0DF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617468D3">
            <w:pPr>
              <w:rPr>
                <w:sz w:val="24"/>
                <w:szCs w:val="24"/>
              </w:rPr>
            </w:pPr>
            <w:r>
              <w:rPr>
                <w:rFonts w:hint="eastAsia"/>
                <w:sz w:val="24"/>
                <w:szCs w:val="24"/>
              </w:rPr>
              <w:t>参会人员</w:t>
            </w:r>
          </w:p>
        </w:tc>
        <w:tc>
          <w:tcPr>
            <w:tcW w:w="7191" w:type="dxa"/>
            <w:noWrap w:val="0"/>
            <w:vAlign w:val="center"/>
          </w:tcPr>
          <w:p w14:paraId="1F16EF80">
            <w:pPr>
              <w:spacing w:line="360" w:lineRule="auto"/>
              <w:rPr>
                <w:rFonts w:hint="eastAsia"/>
                <w:sz w:val="24"/>
                <w:szCs w:val="24"/>
              </w:rPr>
            </w:pPr>
            <w:r>
              <w:rPr>
                <w:rFonts w:hint="eastAsia" w:ascii="宋体" w:hAnsi="宋体" w:eastAsia="宋体" w:cs="宋体"/>
                <w:sz w:val="24"/>
                <w:szCs w:val="24"/>
              </w:rPr>
              <w:t>董事长：路明</w:t>
            </w:r>
            <w:r>
              <w:rPr>
                <w:rFonts w:hint="eastAsia" w:ascii="宋体" w:hAnsi="宋体" w:cs="宋体"/>
                <w:sz w:val="24"/>
                <w:szCs w:val="24"/>
                <w:lang w:eastAsia="zh-CN"/>
              </w:rPr>
              <w:t>；</w:t>
            </w:r>
            <w:r>
              <w:rPr>
                <w:rFonts w:hint="eastAsia" w:ascii="宋体" w:hAnsi="宋体" w:eastAsia="宋体" w:cs="宋体"/>
                <w:sz w:val="24"/>
                <w:szCs w:val="24"/>
              </w:rPr>
              <w:t>财务总监、董事会秘书：毕刚</w:t>
            </w:r>
            <w:r>
              <w:rPr>
                <w:rFonts w:hint="eastAsia" w:ascii="宋体" w:hAnsi="宋体" w:cs="宋体"/>
                <w:sz w:val="24"/>
                <w:szCs w:val="24"/>
                <w:lang w:eastAsia="zh-CN"/>
              </w:rPr>
              <w:t>；</w:t>
            </w:r>
            <w:r>
              <w:rPr>
                <w:rFonts w:hint="eastAsia" w:ascii="宋体" w:hAnsi="宋体" w:eastAsia="宋体" w:cs="宋体"/>
                <w:sz w:val="24"/>
                <w:szCs w:val="24"/>
              </w:rPr>
              <w:t>独立董事：王清</w:t>
            </w:r>
          </w:p>
        </w:tc>
      </w:tr>
      <w:tr w14:paraId="77642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48886E1E">
            <w:pPr>
              <w:rPr>
                <w:sz w:val="24"/>
                <w:szCs w:val="24"/>
              </w:rPr>
            </w:pPr>
            <w:r>
              <w:rPr>
                <w:rFonts w:hint="eastAsia"/>
                <w:sz w:val="24"/>
                <w:szCs w:val="24"/>
              </w:rPr>
              <w:t>投资者关系活动主要内容介绍</w:t>
            </w:r>
          </w:p>
        </w:tc>
        <w:tc>
          <w:tcPr>
            <w:tcW w:w="7191" w:type="dxa"/>
            <w:noWrap w:val="0"/>
            <w:vAlign w:val="top"/>
          </w:tcPr>
          <w:p w14:paraId="6F397725">
            <w:pPr>
              <w:spacing w:before="156" w:beforeLines="50" w:line="460" w:lineRule="exact"/>
              <w:jc w:val="center"/>
              <w:rPr>
                <w:rFonts w:hint="eastAsia" w:ascii="宋体" w:hAnsi="宋体"/>
                <w:b/>
                <w:sz w:val="24"/>
              </w:rPr>
            </w:pPr>
            <w:r>
              <w:rPr>
                <w:rFonts w:hint="eastAsia" w:ascii="宋体" w:hAnsi="宋体"/>
                <w:b/>
                <w:sz w:val="24"/>
              </w:rPr>
              <w:t>投资者关系活动主要内容</w:t>
            </w:r>
          </w:p>
          <w:p w14:paraId="2027AE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b/>
                <w:bCs/>
                <w:sz w:val="24"/>
                <w:lang w:val="en-US"/>
              </w:rPr>
            </w:pPr>
            <w:r>
              <w:rPr>
                <w:rFonts w:hint="eastAsia" w:ascii="宋体"/>
                <w:b/>
                <w:bCs/>
                <w:sz w:val="24"/>
                <w:lang w:val="en-US" w:eastAsia="zh-CN"/>
              </w:rPr>
              <w:t>一</w:t>
            </w:r>
            <w:r>
              <w:rPr>
                <w:rFonts w:hint="default" w:ascii="宋体"/>
                <w:b/>
                <w:bCs/>
                <w:sz w:val="24"/>
                <w:lang w:val="en-US"/>
              </w:rPr>
              <w:t>、路总，能否为我们介绍一下公司的行业情况？</w:t>
            </w:r>
          </w:p>
          <w:p w14:paraId="2D108624">
            <w:pPr>
              <w:spacing w:line="460" w:lineRule="auto"/>
              <w:ind w:firstLine="480" w:firstLineChars="200"/>
              <w:rPr>
                <w:rFonts w:hint="default" w:ascii="宋体"/>
                <w:sz w:val="24"/>
                <w:lang w:val="en-US"/>
              </w:rPr>
            </w:pPr>
            <w:r>
              <w:rPr>
                <w:rFonts w:hint="default" w:ascii="宋体"/>
                <w:sz w:val="24"/>
                <w:lang w:val="en-US"/>
              </w:rPr>
              <w:t xml:space="preserve">尊敬的投资者，您好。在国家“双碳”相关政策引导下，我国氯碱行业产能扩张得到有效控制，产能增速持续放缓，行业布局更趋清晰，单个企业平均规模继续提升。根据最新产能调查数据显示，截至2024年底，我国PVC现有产能为2951万吨（其中包含聚氯乙烯糊状树脂148万吨），产能净增长70万吨，其中年内新增90万吨，退出20万吨，占当前全球总量的47%左右。
     </w:t>
            </w:r>
          </w:p>
          <w:p w14:paraId="56E08EA6">
            <w:pPr>
              <w:spacing w:line="460" w:lineRule="auto"/>
              <w:ind w:firstLine="480" w:firstLineChars="200"/>
              <w:rPr>
                <w:rFonts w:hint="default" w:ascii="宋体"/>
                <w:sz w:val="24"/>
                <w:lang w:val="en-US"/>
              </w:rPr>
            </w:pPr>
            <w:r>
              <w:rPr>
                <w:rFonts w:hint="default" w:ascii="宋体"/>
                <w:sz w:val="24"/>
                <w:lang w:val="en-US"/>
              </w:rPr>
              <w:t xml:space="preserve">随着我国新能源领域不断发展，磷酸铁锂电池和三元电池需求明显增长，相关化工品耗碱量持续提升，烧碱市场需求稳步增长，投资热情提升，“碱氯平衡”问题更加受到关注。近几年，环氧氯丙烷、氯化亚砜等精细耗氯产品产能保持稳步增长，PVC在氯气消费总量中的占比小幅降低，但作为最重要的有机耗氯产品，PVC近几年受关注度也有所提高，仍是实现氯碱行业“碱氯平衡”的压舱石，约占氯气消费总量的35%。与此同时，局部地区或个别PVC企业因不具备资源、能源优势，存在频繁停车或长期停车现象。因此，未来几年国内PVC仍将保持有进有退，产业结构持续优化。
      </w:t>
            </w:r>
          </w:p>
          <w:p w14:paraId="4E7D0FF2">
            <w:pPr>
              <w:spacing w:line="460" w:lineRule="auto"/>
              <w:ind w:firstLine="480" w:firstLineChars="200"/>
              <w:rPr>
                <w:rFonts w:hint="default" w:ascii="宋体"/>
                <w:sz w:val="24"/>
                <w:lang w:val="en-US"/>
              </w:rPr>
            </w:pPr>
            <w:r>
              <w:rPr>
                <w:rFonts w:hint="default" w:ascii="宋体"/>
                <w:sz w:val="24"/>
                <w:lang w:val="en-US"/>
              </w:rPr>
              <w:t>目前我国氯碱行业的布局逐渐清晰，PVC作为氯碱的主要产品，近年来的发展格局也趋于明朗，一批具有竞争优势的企业成为该领域的领先代表。华北地区化工发展基础雄厚，近年来随着沿海乙烯法PVC装置陆续投产，区内乙烯法产能已超过电石法，且未来扩能仍以乙烯法为主；西北地区依托丰富的煤炭、矿产资源优势，大力发展“煤-电-氯碱-PVC-水泥”一体化项目，特别是近年来当地氯碱企业积极探索与绿电新能源的耦合发展，为光伏、风电提供基础原料的同时，充分利用绿电降低企业用电成本，获得新的发展动力；华东地区是我国氯碱产品主要消费市场，依托下游需求支撑和相对便利的对外贸易条件，当地氯碱产业逐渐探索出与石化行业、氟化工、精细化工和农药等行业结合发展的模式。</w:t>
            </w:r>
          </w:p>
          <w:p w14:paraId="17AA397A">
            <w:pPr>
              <w:ind w:firstLine="482" w:firstLineChars="200"/>
              <w:rPr>
                <w:rFonts w:hint="default" w:ascii="宋体"/>
                <w:b/>
                <w:bCs/>
                <w:sz w:val="24"/>
                <w:lang w:val="en-US"/>
              </w:rPr>
            </w:pPr>
            <w:r>
              <w:rPr>
                <w:rFonts w:hint="eastAsia" w:ascii="宋体"/>
                <w:b/>
                <w:bCs/>
                <w:sz w:val="24"/>
                <w:lang w:val="en-US" w:eastAsia="zh-CN"/>
              </w:rPr>
              <w:t>二</w:t>
            </w:r>
            <w:r>
              <w:rPr>
                <w:rFonts w:hint="default" w:ascii="宋体"/>
                <w:b/>
                <w:bCs/>
                <w:sz w:val="24"/>
                <w:lang w:val="en-US" w:eastAsia="zh-CN"/>
              </w:rPr>
              <w:t>、高管您好。请问贵公司本期</w:t>
            </w:r>
            <w:r>
              <w:rPr>
                <w:rFonts w:hint="default" w:ascii="宋体"/>
                <w:b/>
                <w:bCs/>
                <w:sz w:val="24"/>
                <w:lang w:val="en-US"/>
              </w:rPr>
              <w:t>财务报告中，盈利表现如何？谢谢。</w:t>
            </w:r>
          </w:p>
          <w:p w14:paraId="5663A475">
            <w:pPr>
              <w:spacing w:line="460" w:lineRule="auto"/>
              <w:ind w:firstLine="480" w:firstLineChars="200"/>
              <w:rPr>
                <w:rFonts w:hint="default" w:ascii="宋体"/>
                <w:sz w:val="24"/>
                <w:lang w:val="en-US"/>
              </w:rPr>
            </w:pPr>
            <w:r>
              <w:rPr>
                <w:rFonts w:hint="default" w:ascii="宋体"/>
                <w:sz w:val="24"/>
                <w:lang w:val="en-US"/>
              </w:rPr>
              <w:t>尊敬的投资者，您好。公司所属行业主产品PVC依然持续走低，单价同比下降11.82%，2025年一季度亏损5542.75万元。但是，从利润总额看，本期盈利水平较同期有所增长，本期净利润增亏主要系可弥补亏损等暂时性差异谨慎确认递延税项所致。</w:t>
            </w:r>
          </w:p>
          <w:p w14:paraId="2F062BC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b/>
                <w:bCs/>
                <w:sz w:val="24"/>
                <w:lang w:val="en-US" w:eastAsia="zh-CN"/>
              </w:rPr>
            </w:pPr>
            <w:r>
              <w:rPr>
                <w:rFonts w:hint="eastAsia" w:ascii="宋体"/>
                <w:b/>
                <w:bCs/>
                <w:sz w:val="24"/>
                <w:lang w:val="en-US" w:eastAsia="zh-CN"/>
              </w:rPr>
              <w:t>三</w:t>
            </w:r>
            <w:r>
              <w:rPr>
                <w:rFonts w:hint="default" w:ascii="宋体"/>
                <w:b/>
                <w:bCs/>
                <w:sz w:val="24"/>
                <w:lang w:val="en-US" w:eastAsia="zh-CN"/>
              </w:rPr>
              <w:t>、高管您好，请问贵公司未来盈利增长的主要驱动因素有哪些？谢谢。</w:t>
            </w:r>
          </w:p>
          <w:p w14:paraId="31AE9068">
            <w:pPr>
              <w:spacing w:line="460" w:lineRule="auto"/>
              <w:ind w:firstLine="480" w:firstLineChars="200"/>
              <w:rPr>
                <w:rFonts w:hint="default" w:ascii="宋体"/>
                <w:sz w:val="24"/>
                <w:lang w:val="en-US"/>
              </w:rPr>
            </w:pPr>
            <w:r>
              <w:rPr>
                <w:rFonts w:hint="default" w:ascii="宋体"/>
                <w:sz w:val="24"/>
                <w:lang w:val="en-US"/>
              </w:rPr>
              <w:t>尊敬的投资者，您好。公司未来将重点聚焦四个领域。一是聚焦传统材料升级领域：依托原料及能源优势，发展绿色钙基纳米新材料，将石灰石或电石渣实现高附加值转化，规划超细纳米碳酸钙及高比表面氢氧化钙等项目；同时推进PVC/PBAT化学或物理改性项目研发及产业化，优化产品性能，通过产品差异化提升附加值，增强市场竞争力；二是聚焦电子新材料领域：在建设中的2万吨电子级盐酸、6万吨电子级烧碱项目基础上，进一步规划电子级三氯氢硅、电子级硅烷、电子级氯气及电子级乙炔气等电子特气产品，构建电子新材料产品矩阵；三是聚焦硅基新材料领域：以现有三氯氢硅产品为基础，布局光纤级四氯化硅、硅烷偶联剂、有机硅等高端产品，延长产业链，抢占高附加值新赛道。四是布局氟基新材料领域：利用含氯产品转换生产含氟产品，进而布局含F新型制冷剂和PVDF（聚偏氟乙烯）等新材料，抢占氟基新材料增量市场，实现基础化工向高端氟材料价值跃迁。</w:t>
            </w:r>
          </w:p>
          <w:p w14:paraId="7659B39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b/>
                <w:bCs/>
                <w:sz w:val="24"/>
                <w:lang w:val="en-US" w:eastAsia="zh-CN"/>
              </w:rPr>
            </w:pPr>
            <w:r>
              <w:rPr>
                <w:rFonts w:hint="eastAsia" w:ascii="宋体"/>
                <w:b/>
                <w:bCs/>
                <w:sz w:val="24"/>
                <w:lang w:val="en-US" w:eastAsia="zh-CN"/>
              </w:rPr>
              <w:t>四</w:t>
            </w:r>
            <w:r>
              <w:rPr>
                <w:rFonts w:hint="default" w:ascii="宋体"/>
                <w:b/>
                <w:bCs/>
                <w:sz w:val="24"/>
                <w:lang w:val="en-US" w:eastAsia="zh-CN"/>
              </w:rPr>
              <w:t>、介绍一下公司现阶段主营情况？</w:t>
            </w:r>
          </w:p>
          <w:p w14:paraId="7FA0F007">
            <w:pPr>
              <w:spacing w:line="460" w:lineRule="auto"/>
              <w:ind w:firstLine="480" w:firstLineChars="200"/>
              <w:rPr>
                <w:rFonts w:hint="default" w:ascii="宋体"/>
                <w:sz w:val="24"/>
                <w:lang w:val="en-US"/>
              </w:rPr>
            </w:pPr>
            <w:r>
              <w:rPr>
                <w:rFonts w:hint="default" w:ascii="宋体"/>
                <w:sz w:val="24"/>
                <w:lang w:val="en-US"/>
              </w:rPr>
              <w:t>尊敬的投资者，您好。公司主要从事以PVC和烧碱为核心的氯碱化工产品的生产与销售业务。其业务涵盖原盐及灰岩开采、煤炭发电及电石制备、PVC及烧碱生产、“三废”综合利用、三氯氢硅和四氯化硅的生产与销售，以及PBAT/PBS的生产与销售等多个领域，成功构建起氯碱化工一体化循环经济体系。公司的主要产品包括PVC、烧碱、灰岩、电石渣水泥、石灰、三氯氢硅、四氯化硅、PBAT/PBS等。</w:t>
            </w:r>
          </w:p>
          <w:p w14:paraId="1FE2B6EB">
            <w:pPr>
              <w:pStyle w:val="7"/>
              <w:spacing w:line="460" w:lineRule="exact"/>
              <w:ind w:left="0" w:leftChars="0" w:firstLine="0" w:firstLineChars="0"/>
              <w:rPr>
                <w:rFonts w:hint="eastAsia" w:ascii="宋体" w:hAnsi="宋体"/>
                <w:sz w:val="24"/>
                <w:szCs w:val="24"/>
              </w:rPr>
            </w:pPr>
          </w:p>
        </w:tc>
      </w:tr>
    </w:tbl>
    <w:p w14:paraId="0BC13A61"/>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5A0B2">
    <w:pPr>
      <w:pStyle w:val="2"/>
      <w:tabs>
        <w:tab w:val="clear" w:pos="4153"/>
      </w:tabs>
      <w:jc w:val="right"/>
    </w:pPr>
    <w:r>
      <w:rPr>
        <w:rFonts w:hint="eastAsia"/>
      </w:rPr>
      <w:t>安徽华塑股份有限公司投资者关系活动记录表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I3NTlhNGJhZTk1YmZkMTc2MTM0MTg2MGI3NTFmMTEifQ=="/>
  </w:docVars>
  <w:rsids>
    <w:rsidRoot w:val="00000000"/>
    <w:rsid w:val="08193505"/>
    <w:rsid w:val="1CB2496B"/>
    <w:rsid w:val="2B5D44DF"/>
    <w:rsid w:val="2EF55B8A"/>
    <w:rsid w:val="3D9864D9"/>
    <w:rsid w:val="61B42C51"/>
    <w:rsid w:val="669C24AC"/>
    <w:rsid w:val="670E1BEF"/>
    <w:rsid w:val="6BCE31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1629</Words>
  <Characters>1765</Characters>
  <Lines>0</Lines>
  <Paragraphs>0</Paragraphs>
  <TotalTime>3</TotalTime>
  <ScaleCrop>false</ScaleCrop>
  <LinksUpToDate>false</LinksUpToDate>
  <CharactersWithSpaces>1808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阿杜</cp:lastModifiedBy>
  <dcterms:modified xsi:type="dcterms:W3CDTF">2025-05-28T09:07:33Z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38125EE51DEA488AB0CBC5147CC5F72F_13</vt:lpwstr>
  </property>
  <property fmtid="{D5CDD505-2E9C-101B-9397-08002B2CF9AE}" pid="4" name="KSOTemplateDocerSaveRecord">
    <vt:lpwstr>eyJoZGlkIjoiMzEwNTM5NzYwMDRjMzkwZTVkZjY2ODkwMGIxNGU0OTUiLCJ1c2VySWQiOiIzNTE1Mjk0MTQifQ==</vt:lpwstr>
  </property>
</Properties>
</file>