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F54D7" w14:textId="77777777" w:rsidR="00144C9E" w:rsidRPr="00B873C8" w:rsidRDefault="00DF2CFA">
      <w:pPr>
        <w:adjustRightInd w:val="0"/>
        <w:snapToGrid w:val="0"/>
        <w:spacing w:line="600" w:lineRule="exact"/>
        <w:jc w:val="center"/>
        <w:rPr>
          <w:rFonts w:ascii="宋体" w:eastAsia="宋体" w:hAnsi="宋体" w:cs="Arial"/>
          <w:bCs/>
          <w:sz w:val="28"/>
          <w:szCs w:val="28"/>
        </w:rPr>
      </w:pPr>
      <w:bookmarkStart w:id="0" w:name="_Hlk61459020"/>
      <w:r w:rsidRPr="00B873C8">
        <w:rPr>
          <w:rFonts w:ascii="宋体" w:eastAsia="宋体" w:hAnsi="宋体" w:cs="Arial"/>
          <w:bCs/>
          <w:sz w:val="28"/>
          <w:szCs w:val="28"/>
        </w:rPr>
        <w:t>证券</w:t>
      </w:r>
      <w:r w:rsidRPr="00B873C8">
        <w:rPr>
          <w:rFonts w:ascii="宋体" w:eastAsia="宋体" w:hAnsi="宋体" w:cs="Arial" w:hint="eastAsia"/>
          <w:bCs/>
          <w:sz w:val="28"/>
          <w:szCs w:val="28"/>
        </w:rPr>
        <w:t>代码</w:t>
      </w:r>
      <w:r w:rsidRPr="00B873C8">
        <w:rPr>
          <w:rFonts w:ascii="宋体" w:eastAsia="宋体" w:hAnsi="宋体" w:cs="Courier New"/>
          <w:bCs/>
          <w:sz w:val="28"/>
          <w:szCs w:val="28"/>
        </w:rPr>
        <w:t>:</w:t>
      </w:r>
      <w:r w:rsidRPr="00B873C8">
        <w:rPr>
          <w:rFonts w:ascii="宋体" w:eastAsia="宋体" w:hAnsi="宋体" w:cs="Arial"/>
          <w:bCs/>
          <w:sz w:val="28"/>
          <w:szCs w:val="28"/>
        </w:rPr>
        <w:t xml:space="preserve"> </w:t>
      </w:r>
      <w:r w:rsidRPr="00B873C8">
        <w:rPr>
          <w:rFonts w:ascii="宋体" w:eastAsia="宋体" w:hAnsi="宋体" w:cs="Arial" w:hint="eastAsia"/>
          <w:bCs/>
          <w:sz w:val="28"/>
          <w:szCs w:val="28"/>
        </w:rPr>
        <w:t xml:space="preserve">688136 </w:t>
      </w:r>
      <w:r w:rsidRPr="00B873C8">
        <w:rPr>
          <w:rFonts w:ascii="宋体" w:eastAsia="宋体" w:hAnsi="宋体" w:cs="Arial"/>
          <w:bCs/>
          <w:sz w:val="28"/>
          <w:szCs w:val="28"/>
        </w:rPr>
        <w:t xml:space="preserve">                        证券</w:t>
      </w:r>
      <w:r w:rsidRPr="00B873C8">
        <w:rPr>
          <w:rFonts w:ascii="宋体" w:eastAsia="宋体" w:hAnsi="宋体" w:cs="Arial" w:hint="eastAsia"/>
          <w:bCs/>
          <w:sz w:val="28"/>
          <w:szCs w:val="28"/>
        </w:rPr>
        <w:t>简称</w:t>
      </w:r>
      <w:r w:rsidRPr="00B873C8">
        <w:rPr>
          <w:rFonts w:ascii="宋体" w:eastAsia="宋体" w:hAnsi="宋体" w:cs="Arial"/>
          <w:bCs/>
          <w:sz w:val="28"/>
          <w:szCs w:val="28"/>
        </w:rPr>
        <w:t>：</w:t>
      </w:r>
      <w:r w:rsidRPr="00B873C8">
        <w:rPr>
          <w:rFonts w:ascii="宋体" w:eastAsia="宋体" w:hAnsi="宋体" w:cs="Arial" w:hint="eastAsia"/>
          <w:bCs/>
          <w:sz w:val="28"/>
          <w:szCs w:val="28"/>
        </w:rPr>
        <w:t>科兴制药</w:t>
      </w:r>
      <w:r w:rsidRPr="00B873C8">
        <w:rPr>
          <w:rFonts w:ascii="宋体" w:eastAsia="宋体" w:hAnsi="宋体" w:cs="Arial"/>
          <w:bCs/>
          <w:sz w:val="28"/>
          <w:szCs w:val="28"/>
        </w:rPr>
        <w:t xml:space="preserve">   </w:t>
      </w:r>
    </w:p>
    <w:p w14:paraId="49EDF205" w14:textId="77777777" w:rsidR="00144C9E" w:rsidRPr="00B873C8" w:rsidRDefault="00DF2CFA">
      <w:pPr>
        <w:adjustRightInd w:val="0"/>
        <w:snapToGrid w:val="0"/>
        <w:spacing w:line="600" w:lineRule="exact"/>
        <w:jc w:val="center"/>
        <w:rPr>
          <w:rFonts w:ascii="宋体" w:eastAsia="宋体" w:hAnsi="宋体" w:cs="Arial"/>
          <w:b/>
          <w:bCs/>
          <w:sz w:val="28"/>
          <w:szCs w:val="28"/>
        </w:rPr>
      </w:pPr>
      <w:r w:rsidRPr="00B873C8">
        <w:rPr>
          <w:rFonts w:ascii="宋体" w:eastAsia="宋体" w:hAnsi="宋体" w:cs="Arial" w:hint="eastAsia"/>
          <w:b/>
          <w:bCs/>
          <w:sz w:val="28"/>
          <w:szCs w:val="28"/>
        </w:rPr>
        <w:t>科兴生物制药股份有限公司投资者关系活动记录表</w:t>
      </w:r>
    </w:p>
    <w:p w14:paraId="68549A95" w14:textId="77777777" w:rsidR="00144C9E" w:rsidRPr="00B873C8" w:rsidRDefault="00DF2CFA">
      <w:pPr>
        <w:adjustRightInd w:val="0"/>
        <w:snapToGrid w:val="0"/>
        <w:spacing w:line="600" w:lineRule="exact"/>
        <w:jc w:val="right"/>
        <w:rPr>
          <w:rFonts w:ascii="宋体" w:eastAsia="宋体" w:hAnsi="宋体" w:cs="Arial"/>
          <w:b/>
          <w:bCs/>
          <w:sz w:val="28"/>
          <w:szCs w:val="28"/>
        </w:rPr>
      </w:pPr>
      <w:r w:rsidRPr="00B873C8">
        <w:rPr>
          <w:rFonts w:ascii="宋体" w:eastAsia="宋体" w:hAnsi="宋体" w:cs="Arial" w:hint="eastAsia"/>
          <w:bCs/>
          <w:sz w:val="28"/>
          <w:szCs w:val="28"/>
        </w:rPr>
        <w:t>编号：2025-00</w:t>
      </w:r>
      <w:r w:rsidRPr="00B873C8">
        <w:rPr>
          <w:rFonts w:ascii="宋体" w:eastAsia="宋体" w:hAnsi="宋体" w:cs="Arial"/>
          <w:bCs/>
          <w:sz w:val="28"/>
          <w:szCs w:val="28"/>
        </w:rPr>
        <w:t>4</w:t>
      </w:r>
    </w:p>
    <w:tbl>
      <w:tblPr>
        <w:tblStyle w:val="af"/>
        <w:tblpPr w:leftFromText="180" w:rightFromText="180" w:vertAnchor="page" w:horzAnchor="margin" w:tblpY="3507"/>
        <w:tblW w:w="8296" w:type="dxa"/>
        <w:tblLayout w:type="fixed"/>
        <w:tblLook w:val="04A0" w:firstRow="1" w:lastRow="0" w:firstColumn="1" w:lastColumn="0" w:noHBand="0" w:noVBand="1"/>
      </w:tblPr>
      <w:tblGrid>
        <w:gridCol w:w="2679"/>
        <w:gridCol w:w="5617"/>
      </w:tblGrid>
      <w:tr w:rsidR="00144C9E" w:rsidRPr="00B873C8" w14:paraId="7E3EBACB" w14:textId="77777777">
        <w:tc>
          <w:tcPr>
            <w:tcW w:w="2679" w:type="dxa"/>
            <w:vAlign w:val="center"/>
          </w:tcPr>
          <w:p w14:paraId="12CD2F01" w14:textId="77777777" w:rsidR="00144C9E" w:rsidRPr="00B873C8" w:rsidRDefault="00DF2CFA">
            <w:pPr>
              <w:widowControl/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/>
                <w:sz w:val="24"/>
                <w:szCs w:val="28"/>
              </w:rPr>
              <w:t>投资者关系活动类别</w:t>
            </w:r>
          </w:p>
        </w:tc>
        <w:tc>
          <w:tcPr>
            <w:tcW w:w="5617" w:type="dxa"/>
          </w:tcPr>
          <w:p w14:paraId="55E431D2" w14:textId="4A455BB0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>特定对象调研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 w:rsidRPr="00B873C8">
              <w:rPr>
                <w:rFonts w:ascii="宋体" w:eastAsia="宋体" w:hAnsi="宋体"/>
                <w:sz w:val="24"/>
                <w:szCs w:val="28"/>
              </w:rPr>
              <w:t>分析师会议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t xml:space="preserve">□媒体采访 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 w:rsidRPr="00B873C8">
              <w:rPr>
                <w:rFonts w:ascii="宋体" w:eastAsia="宋体" w:hAnsi="宋体"/>
                <w:sz w:val="24"/>
                <w:szCs w:val="28"/>
              </w:rPr>
              <w:t>业绩说明会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t>□新闻发布会 □路演活动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 w:rsidRPr="00B873C8">
              <w:rPr>
                <w:rFonts w:ascii="宋体" w:eastAsia="宋体" w:hAnsi="宋体"/>
                <w:sz w:val="24"/>
                <w:szCs w:val="28"/>
              </w:rPr>
              <w:t>现场参观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>☑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t>其他（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>研发开放日</w:t>
            </w:r>
            <w:r w:rsidRPr="00B873C8">
              <w:rPr>
                <w:rFonts w:ascii="宋体" w:eastAsia="宋体" w:hAnsi="宋体"/>
                <w:sz w:val="24"/>
                <w:szCs w:val="28"/>
              </w:rPr>
              <w:t>）</w:t>
            </w:r>
          </w:p>
        </w:tc>
      </w:tr>
      <w:tr w:rsidR="00144C9E" w:rsidRPr="00B873C8" w14:paraId="3903D9C1" w14:textId="77777777">
        <w:trPr>
          <w:trHeight w:val="739"/>
        </w:trPr>
        <w:tc>
          <w:tcPr>
            <w:tcW w:w="2679" w:type="dxa"/>
            <w:vAlign w:val="center"/>
          </w:tcPr>
          <w:p w14:paraId="2D713703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/>
                <w:sz w:val="24"/>
                <w:szCs w:val="28"/>
              </w:rPr>
              <w:t>参与单位名称及人员姓名</w:t>
            </w:r>
          </w:p>
        </w:tc>
        <w:tc>
          <w:tcPr>
            <w:tcW w:w="5617" w:type="dxa"/>
            <w:vAlign w:val="center"/>
          </w:tcPr>
          <w:p w14:paraId="4404AEB0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富国基金、嘉实基金、易方达基金、银华基金、建信基金、景顺长城基金、安信基金、财通基金、大成基金、中信证券资管、国联基金、国证资管、恒昇基金、红筹投资、红土创新基金、华安基金、玖金基金、民银国际、摩根基金、摩根士丹利基金、农银汇理、鹏华基金、安徽明泽投资、千榕资管、前海开源、前海人寿、广东正圆投资、深圳前海精至资管、新华资管、香港兴全基金、玄甲基金、招商基金、招商资管、真脉投资、中庚基金、中欧基金、中泰国际资管、博时基金、前海联合基金、全天候基金、惠通基金、德邦证券、东吴证券、中信建投证券、方正证券、国海证券、国泰海通证券、华安医药、华福证券、华西证券、华源证券、开源证券、平安证券、申万宏源证券、天风证券、信达证券、兴业证券、甬兴证券、长城证券、招商证券、中金公司、中信证券、国信证券、华创证券等机构的98人</w:t>
            </w:r>
          </w:p>
        </w:tc>
      </w:tr>
      <w:tr w:rsidR="00144C9E" w:rsidRPr="00B873C8" w14:paraId="4FAAB399" w14:textId="77777777">
        <w:trPr>
          <w:trHeight w:val="497"/>
        </w:trPr>
        <w:tc>
          <w:tcPr>
            <w:tcW w:w="2679" w:type="dxa"/>
            <w:vAlign w:val="center"/>
          </w:tcPr>
          <w:p w14:paraId="35DDE977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5617" w:type="dxa"/>
            <w:vAlign w:val="center"/>
          </w:tcPr>
          <w:p w14:paraId="5C92706A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2025年5月27日 14:00-18:00</w:t>
            </w:r>
          </w:p>
        </w:tc>
      </w:tr>
      <w:tr w:rsidR="00144C9E" w:rsidRPr="00B873C8" w14:paraId="626B0DC5" w14:textId="77777777">
        <w:trPr>
          <w:trHeight w:val="532"/>
        </w:trPr>
        <w:tc>
          <w:tcPr>
            <w:tcW w:w="2679" w:type="dxa"/>
            <w:vAlign w:val="center"/>
          </w:tcPr>
          <w:p w14:paraId="53EF61CD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5617" w:type="dxa"/>
            <w:vAlign w:val="center"/>
          </w:tcPr>
          <w:p w14:paraId="725669CB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科兴科学园国际会议中心</w:t>
            </w:r>
          </w:p>
        </w:tc>
      </w:tr>
      <w:tr w:rsidR="00144C9E" w:rsidRPr="00B873C8" w14:paraId="79D3ADF3" w14:textId="77777777">
        <w:tc>
          <w:tcPr>
            <w:tcW w:w="2679" w:type="dxa"/>
            <w:vAlign w:val="center"/>
          </w:tcPr>
          <w:p w14:paraId="3A2EC4D5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上市公司接待人员姓名</w:t>
            </w:r>
          </w:p>
        </w:tc>
        <w:tc>
          <w:tcPr>
            <w:tcW w:w="5617" w:type="dxa"/>
          </w:tcPr>
          <w:p w14:paraId="32E7A549" w14:textId="77777777" w:rsidR="00144C9E" w:rsidRPr="00B873C8" w:rsidRDefault="00DF2CFA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董事长                邓学勤</w:t>
            </w:r>
          </w:p>
          <w:p w14:paraId="39FF86E2" w14:textId="77777777" w:rsidR="00144C9E" w:rsidRPr="00B873C8" w:rsidRDefault="00DF2CFA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董事、总经理          赵彦轻</w:t>
            </w:r>
          </w:p>
          <w:p w14:paraId="3F8CC139" w14:textId="44C87589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 w:rsidR="00E12CA3">
              <w:rPr>
                <w:rFonts w:ascii="宋体" w:eastAsia="宋体" w:hAnsi="宋体" w:hint="eastAsia"/>
                <w:sz w:val="24"/>
                <w:szCs w:val="28"/>
              </w:rPr>
              <w:t>、副总经理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>、研究院院长</w:t>
            </w:r>
            <w:r w:rsidR="00F542C0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B873C8">
              <w:rPr>
                <w:rFonts w:ascii="宋体" w:eastAsia="宋体" w:hAnsi="宋体" w:hint="eastAsia"/>
                <w:sz w:val="24"/>
                <w:szCs w:val="28"/>
              </w:rPr>
              <w:t>秦锁富</w:t>
            </w:r>
          </w:p>
          <w:p w14:paraId="707FA6D9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4、董事、董秘兼财务总监  王小琴</w:t>
            </w:r>
          </w:p>
          <w:p w14:paraId="059F87F0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5、IRD                   段小霞</w:t>
            </w:r>
          </w:p>
          <w:p w14:paraId="79E6D922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6、公司研发团队</w:t>
            </w:r>
          </w:p>
        </w:tc>
      </w:tr>
      <w:tr w:rsidR="00144C9E" w:rsidRPr="00B873C8" w14:paraId="37DC4C13" w14:textId="77777777">
        <w:trPr>
          <w:trHeight w:val="13629"/>
        </w:trPr>
        <w:tc>
          <w:tcPr>
            <w:tcW w:w="8296" w:type="dxa"/>
            <w:gridSpan w:val="2"/>
          </w:tcPr>
          <w:p w14:paraId="4FA7B29F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公司于2025年5月27举行了研发Open Day活动，就公司创新药布局情况及公司近况与投资者进行了互动交流。</w:t>
            </w:r>
          </w:p>
          <w:p w14:paraId="3CD4CD1E" w14:textId="77777777" w:rsidR="00144C9E" w:rsidRPr="00B873C8" w:rsidRDefault="00DF2CFA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一、会议概要</w:t>
            </w:r>
          </w:p>
          <w:p w14:paraId="6E9955B9" w14:textId="0327725C" w:rsidR="00144C9E" w:rsidRPr="00B873C8" w:rsidRDefault="00DF2CFA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公司副总</w:t>
            </w:r>
            <w:r w:rsidR="00DC450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经理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、研究院院长秦锁富先生及研发团队就公司研发概况、创新药管线情况进行了介绍，具体管线情况如下：</w:t>
            </w:r>
          </w:p>
          <w:p w14:paraId="2EAF40A9" w14:textId="77777777" w:rsidR="00144C9E" w:rsidRPr="00B873C8" w:rsidRDefault="00DF2CFA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Style w:val="af0"/>
                <w:rFonts w:ascii="宋体" w:eastAsia="宋体" w:hAnsi="宋体" w:cs="宋体"/>
                <w:bCs/>
                <w:szCs w:val="24"/>
                <w:shd w:val="clear" w:color="auto" w:fill="FFFFFF"/>
              </w:rPr>
            </w:pPr>
            <w:r w:rsidRPr="00B873C8"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1、肿瘤恶病质管线（GB18）</w:t>
            </w:r>
          </w:p>
          <w:p w14:paraId="434C8ED0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Style w:val="af0"/>
                <w:rFonts w:ascii="宋体" w:eastAsia="宋体" w:hAnsi="宋体" w:cs="宋体"/>
                <w:bCs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GB18是一种针对GDF15（生长分化因子15）靶点的创新型药物，专门用于治疗肿瘤恶病质。对标全球领先同靶点同适应症辉瑞管线</w:t>
            </w:r>
            <w:proofErr w:type="spellStart"/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Ponsegromab</w:t>
            </w:r>
            <w:proofErr w:type="spellEnd"/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，公司GB18管线临床前数据，显示明显的差异化优势。目前，GB18已完成了国际专利布局，并已获得国家药监局IND批件及美国FDA的IND批件。</w:t>
            </w:r>
          </w:p>
          <w:p w14:paraId="0CE3398D" w14:textId="77777777" w:rsidR="00144C9E" w:rsidRPr="00B873C8" w:rsidRDefault="00DF2CFA" w:rsidP="00CE1238">
            <w:pPr>
              <w:widowControl/>
              <w:numPr>
                <w:ilvl w:val="0"/>
                <w:numId w:val="2"/>
              </w:numPr>
              <w:spacing w:line="360" w:lineRule="auto"/>
              <w:ind w:left="0"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肿瘤恶病质临床特征：</w:t>
            </w:r>
          </w:p>
          <w:p w14:paraId="75035901" w14:textId="61DB53CA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主要表现为：厌食、体重骤降（≥5%）、肌肉萎缩、日常生活活动（ADL）受限（如沐浴、穿衣困难），不进行治疗后续会加速患者病情恶化。</w:t>
            </w:r>
          </w:p>
          <w:p w14:paraId="2A06137C" w14:textId="77777777" w:rsidR="00144C9E" w:rsidRPr="00B873C8" w:rsidRDefault="00DF2CFA" w:rsidP="00CE1238">
            <w:pPr>
              <w:widowControl/>
              <w:numPr>
                <w:ilvl w:val="0"/>
                <w:numId w:val="2"/>
              </w:numPr>
              <w:spacing w:line="360" w:lineRule="auto"/>
              <w:ind w:left="0"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E123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临床前</w:t>
            </w: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数据亮点：</w:t>
            </w:r>
          </w:p>
          <w:p w14:paraId="4C16AC04" w14:textId="77777777" w:rsidR="00144C9E" w:rsidRPr="00B873C8" w:rsidRDefault="00DF2CFA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显著改善体重下降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：通过阻断GDF15信号通路，GB18能够有效逆转肿瘤恶病质导致的体重减轻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  <w:p w14:paraId="64A6B7C3" w14:textId="77777777" w:rsidR="00144C9E" w:rsidRPr="00B873C8" w:rsidRDefault="00DF2CFA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提升肌肉和脂肪重量：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体内实验表明，GB18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能够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显著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提高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模型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动物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的肌肉和脂肪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重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量，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改善肌肉纤维的质量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  <w:p w14:paraId="0676F7D5" w14:textId="77777777" w:rsidR="00144C9E" w:rsidRPr="00B873C8" w:rsidRDefault="00DF2CFA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改善运动功能：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实验结果显示，接受GB18治疗的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恶病质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动物表现出更强的运动能力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，以及和正常动物相近的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机体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能量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代谢</w:t>
            </w:r>
            <w:r w:rsidRPr="00B873C8"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  <w:t>指标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14:paraId="7020A433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此外，基于临床前药代动力学（PK）数据，GB18预计可实现每3-4周一次的注射频率，大幅减少患者的用药负担，提高依从性。</w:t>
            </w:r>
          </w:p>
          <w:p w14:paraId="364E3F71" w14:textId="77777777" w:rsidR="00144C9E" w:rsidRPr="00B873C8" w:rsidRDefault="00DF2CFA" w:rsidP="00CE1238">
            <w:pPr>
              <w:widowControl/>
              <w:numPr>
                <w:ilvl w:val="0"/>
                <w:numId w:val="2"/>
              </w:numPr>
              <w:spacing w:line="360" w:lineRule="auto"/>
              <w:ind w:left="0"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市场空间</w:t>
            </w:r>
          </w:p>
          <w:p w14:paraId="7285B777" w14:textId="456D4F9A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根据国家癌症中心发布的数据</w:t>
            </w:r>
            <w:bookmarkStart w:id="1" w:name="_GoBack"/>
            <w:bookmarkEnd w:id="1"/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显示，中国每年新发癌症病例高达</w:t>
            </w:r>
            <w:r w:rsidRPr="00B873C8">
              <w:rPr>
                <w:rFonts w:ascii="宋体" w:eastAsia="宋体" w:hAnsi="宋体" w:cs="宋体"/>
                <w:sz w:val="24"/>
                <w:szCs w:val="24"/>
              </w:rPr>
              <w:t>482万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（美国200万，欧洲477万），胃癌、食管癌、胰腺癌、肺癌等消化系统肿瘤恶病质发病率较高。</w:t>
            </w:r>
          </w:p>
          <w:p w14:paraId="4746A236" w14:textId="77777777" w:rsidR="00144C9E" w:rsidRPr="00B873C8" w:rsidRDefault="00DF2CFA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="宋体" w:eastAsia="宋体" w:hAnsi="宋体" w:cs="宋体"/>
                <w:szCs w:val="24"/>
              </w:rPr>
            </w:pPr>
            <w:r w:rsidRPr="00B873C8"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2、特应性皮炎管线（GB12）</w:t>
            </w:r>
          </w:p>
          <w:p w14:paraId="76268DF9" w14:textId="77777777" w:rsidR="00144C9E" w:rsidRPr="00B873C8" w:rsidRDefault="00DF2CFA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GB12是一款创新的双特异性抗体（双抗），其结合了IL-4R和IL-31两个关键靶点的优势。通过同时阻断这两种与特应性皮炎密切相关的信号通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路，GB12不仅能够有效抑制炎症反应，还能显著缓解瘙痒症状，从而克服单一靶点药物在疗效和持久性上的局限性。双靶点协同作用的机制如下：</w:t>
            </w:r>
          </w:p>
          <w:p w14:paraId="5D7D419E" w14:textId="77777777" w:rsidR="00144C9E" w:rsidRPr="00B873C8" w:rsidRDefault="00DF2CFA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IL-4R阻断：通过抑制Th2免疫轴（包括IL-4和IL-13），可以有效降低皮肤炎症的发生，并减少皮肤屏障的破坏，从而改善皮肤的整体健康状态。</w:t>
            </w:r>
          </w:p>
          <w:p w14:paraId="74BC31C9" w14:textId="77777777" w:rsidR="00144C9E" w:rsidRPr="00B873C8" w:rsidRDefault="00DF2CFA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IL-31R中和：直接作用于瘙痒神经元，抑制其激活，从而有效阻断“瘙痒-搔抓”的恶性循环，缓解患者的瘙痒症状。</w:t>
            </w:r>
          </w:p>
          <w:p w14:paraId="30F27CC4" w14:textId="77777777" w:rsidR="00144C9E" w:rsidRPr="00B873C8" w:rsidRDefault="00DF2CFA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运用AI技术突破性设计得到活性卓越的抗体分子，该分子在临床前研究中展示出优越的抗皮炎、缓解瘙痒效果。</w:t>
            </w:r>
          </w:p>
          <w:p w14:paraId="4580E9A6" w14:textId="77777777" w:rsidR="00144C9E" w:rsidRPr="00B873C8" w:rsidRDefault="00DF2CFA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实验数据显示，双抗在炎症模型和瘙痒模型中表现优于单抗。</w:t>
            </w:r>
          </w:p>
          <w:p w14:paraId="3CA88D09" w14:textId="77777777" w:rsidR="00144C9E" w:rsidRPr="00B873C8" w:rsidRDefault="00DF2CFA">
            <w:pPr>
              <w:pStyle w:val="ac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Style w:val="af0"/>
                <w:rFonts w:ascii="宋体" w:eastAsia="宋体" w:hAnsi="宋体" w:cs="宋体"/>
                <w:bCs/>
                <w:szCs w:val="24"/>
                <w:shd w:val="clear" w:color="auto" w:fill="FFFFFF"/>
              </w:rPr>
            </w:pPr>
            <w:r w:rsidRPr="00B873C8">
              <w:rPr>
                <w:rStyle w:val="af0"/>
                <w:rFonts w:ascii="宋体" w:eastAsia="宋体" w:hAnsi="宋体" w:cs="宋体" w:hint="eastAsia"/>
                <w:bCs/>
                <w:szCs w:val="24"/>
                <w:shd w:val="clear" w:color="auto" w:fill="FFFFFF"/>
              </w:rPr>
              <w:t>3、炎症性肠炎管线（GB20/GB24）</w:t>
            </w:r>
          </w:p>
          <w:p w14:paraId="3201284E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/>
                <w:sz w:val="24"/>
                <w:szCs w:val="24"/>
              </w:rPr>
              <w:t>炎症性肠炎是一种慢性疾病，其临床表现主要包括反复腹泻、腹痛、便血以及体重减轻。在病程进展过程中，大约30%-50%的患者可能会出现肠道纤维化。一旦肠道纤维化进入中晚期，通常难以逆转，往往需要通过手术切除病变肠段来缓解症状和改善生活质量。</w:t>
            </w:r>
          </w:p>
          <w:p w14:paraId="1476EC81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/>
                <w:sz w:val="24"/>
                <w:szCs w:val="24"/>
              </w:rPr>
              <w:t>炎症性肠炎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治疗目前面临以下三大痛点：</w:t>
            </w:r>
          </w:p>
          <w:p w14:paraId="5B5FB054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应答率差异大：现有的TNF-α抑制剂（如阿达木单抗）仅对约60%的患者有效，这意味着仍有相当一部分患者无法从中受益。</w:t>
            </w:r>
          </w:p>
          <w:p w14:paraId="58FFBFCC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纤维化治疗空白：目前尚无获批药物能够有效逆转或阻断肠道纤维化进程，这给中晚期患者带来了更大的治疗挑战。</w:t>
            </w:r>
          </w:p>
          <w:p w14:paraId="4F306C76" w14:textId="77777777" w:rsidR="00144C9E" w:rsidRPr="00B873C8" w:rsidRDefault="00DF2CF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病程管理局限：现有疗法在炎症控制和纤维化预防方面存在不足，难以实现对IBD患者的全程管理，从而影响长期预后和生活质量。</w:t>
            </w:r>
          </w:p>
          <w:p w14:paraId="3A6EF678" w14:textId="77777777" w:rsidR="00144C9E" w:rsidRPr="00B873C8" w:rsidRDefault="00DF2CFA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20项目聚焦于TL1A这一重要靶点，其主要作用机制是通过调节T细胞的功能，从而影响炎症因子的分泌。在分子活性验证中，该药物展现了出色的潜力，在炎症模型和溃疡模型中均取得了良好的效果。这表明，TL1A靶点在治疗与炎症相关的疾病（如炎症性肠病，IBD）方面具有重要意义；</w:t>
            </w:r>
          </w:p>
          <w:p w14:paraId="48B4225B" w14:textId="77777777" w:rsidR="00144C9E" w:rsidRPr="00B873C8" w:rsidRDefault="00DF2CFA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GB24项目除了靶向TL1A之外，还靶向了另一个IBD方面的新兴靶点，功能、机制上和TL1A有较强的协同效应，以及与单抗药物相比的显著优势，实现"抗炎-抗纤维化"序贯全病程调控，开发的双抗在抑制溃疡和纤维化方面效果显著。</w:t>
            </w:r>
          </w:p>
          <w:p w14:paraId="275A94BA" w14:textId="77777777" w:rsidR="00144C9E" w:rsidRPr="00B873C8" w:rsidRDefault="00DF2CFA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二、现场问答</w:t>
            </w:r>
          </w:p>
          <w:p w14:paraId="04005D41" w14:textId="5419A2E2" w:rsidR="00144C9E" w:rsidRPr="00B873C8" w:rsidRDefault="00DF2CFA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1、科兴制药海外商业化与创新药战略介绍</w:t>
            </w:r>
          </w:p>
          <w:p w14:paraId="29EB87B4" w14:textId="77777777" w:rsidR="00144C9E" w:rsidRPr="00B873C8" w:rsidRDefault="00DF2CFA">
            <w:pPr>
              <w:pStyle w:val="af4"/>
              <w:spacing w:line="360" w:lineRule="auto"/>
              <w:ind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答：公司在上市初期明确了“创新+海外商业化”的发展战略，并通过五年的精心布局，取得了显著成果。在创新药研发方面，公司已建立起具有高价值的药物研发管线，为企业的长期发展奠定了坚实基础。在海外商业化方面，国际化道路上展现了独特的商业逻辑和强大的执行能力，开辟了一条与国内其他药企不同的发展路径。</w:t>
            </w:r>
          </w:p>
          <w:p w14:paraId="684C3A6A" w14:textId="77777777" w:rsidR="00144C9E" w:rsidRPr="00B873C8" w:rsidRDefault="00DF2CFA" w:rsidP="00F77901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2、请介绍</w:t>
            </w: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科兴制药海外商业化2.0</w:t>
            </w:r>
          </w:p>
          <w:p w14:paraId="072C3507" w14:textId="77777777" w:rsidR="00144C9E" w:rsidRPr="00B873C8" w:rsidRDefault="00DF2CFA" w:rsidP="00EA130C">
            <w:pPr>
              <w:pStyle w:val="af4"/>
              <w:widowControl/>
              <w:tabs>
                <w:tab w:val="left" w:pos="720"/>
              </w:tabs>
              <w:spacing w:line="360" w:lineRule="auto"/>
              <w:ind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答：公司海外商业化战略不仅专注于中国市场的高品质药品出海，还强调“全球选品、全球覆盖”的理念，致力于在全球范围内寻找具有潜力的产品，并将其推广到更多国家和地区，公司的海外商业化2.0标志着公司战略升级，通过提前布局国际化战略，有效分散经营风险，同时扩大公司在全球市场的商业影响力，具体包含：</w:t>
            </w:r>
          </w:p>
          <w:p w14:paraId="782EE9CE" w14:textId="77777777" w:rsidR="00144C9E" w:rsidRPr="00B873C8" w:rsidRDefault="00DF2CFA" w:rsidP="00EA130C">
            <w:pPr>
              <w:pStyle w:val="af4"/>
              <w:widowControl/>
              <w:spacing w:line="360" w:lineRule="auto"/>
              <w:ind w:firstLine="482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从新兴市场到欧盟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：公司将业务从新兴市场扩展至欧盟等更高标准和要求的区域，进一步提升产品和质量体系的国际竞争力。</w:t>
            </w:r>
          </w:p>
          <w:p w14:paraId="7E4B1424" w14:textId="77777777" w:rsidR="00144C9E" w:rsidRPr="00B873C8" w:rsidRDefault="00DF2CFA" w:rsidP="00EA130C">
            <w:pPr>
              <w:pStyle w:val="af4"/>
              <w:widowControl/>
              <w:spacing w:line="360" w:lineRule="auto"/>
              <w:ind w:firstLine="482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从生物类似药到高端复杂注射制剂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：通过产品结构的升级，公司逐步迈向技术壁垒更高的领域，进一步提升了企业的核心竞争力。</w:t>
            </w:r>
          </w:p>
          <w:p w14:paraId="43905030" w14:textId="62297552" w:rsidR="00144C9E" w:rsidRPr="00B873C8" w:rsidRDefault="00DF2CFA" w:rsidP="00EA130C">
            <w:pPr>
              <w:pStyle w:val="af4"/>
              <w:widowControl/>
              <w:spacing w:line="360" w:lineRule="auto"/>
              <w:ind w:firstLine="482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本土化布局：</w:t>
            </w:r>
            <w:r w:rsidRPr="00B873C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通过在全球关键市场（如巴西、墨西哥、德国等地）设立子公司，逐步构建起强大的海外本地化运营网络。</w:t>
            </w:r>
          </w:p>
          <w:p w14:paraId="76C282FD" w14:textId="28A2B7F0" w:rsidR="00144C9E" w:rsidRPr="00B873C8" w:rsidRDefault="00DF2CFA" w:rsidP="00F77901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3、作为肿瘤支持性产品，GB18实际的临床需求有多大？ </w:t>
            </w:r>
          </w:p>
          <w:p w14:paraId="7D3BF2F0" w14:textId="77777777" w:rsidR="00144C9E" w:rsidRPr="00B873C8" w:rsidRDefault="00DF2CF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答：针对恶病质的治疗方案能够为患者带来显著的整体临床受益，同时也有助于开拓一个新的细分市场，具体而言包含以下几个方面：</w:t>
            </w:r>
          </w:p>
          <w:p w14:paraId="415A09B0" w14:textId="77777777" w:rsidR="00144C9E" w:rsidRPr="00B873C8" w:rsidRDefault="00DF2CF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（1）改善身体整体机能的需求</w:t>
            </w:r>
          </w:p>
          <w:p w14:paraId="350481A2" w14:textId="24A75304" w:rsidR="00144C9E" w:rsidRPr="00B873C8" w:rsidRDefault="00DF2CF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恶病质患者需要通过综合干预来改善代谢</w:t>
            </w:r>
            <w:r w:rsidR="0069148C">
              <w:rPr>
                <w:rFonts w:ascii="宋体" w:eastAsia="宋体" w:hAnsi="宋体" w:cs="宋体" w:hint="eastAsia"/>
                <w:sz w:val="24"/>
                <w:szCs w:val="24"/>
              </w:rPr>
              <w:t>、免疫系统功能，并提升对抗癌药物的耐受性。这不仅有助于增强患者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体质，还能对抗肿瘤治疗产生积极影响。</w:t>
            </w:r>
          </w:p>
          <w:p w14:paraId="4613812F" w14:textId="77777777" w:rsidR="00144C9E" w:rsidRPr="00B873C8" w:rsidRDefault="00DF2CF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（2）恶病质对生存期的影响</w:t>
            </w: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br/>
              <w:t xml:space="preserve">     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恶病质不仅影响机体运动能力，还显著缩短生存期（OS）。有数据显示，体重每下降5%，死亡风险增加约30%。因此，针对恶病质的干预措施具有重要的临床意义。</w:t>
            </w:r>
          </w:p>
          <w:p w14:paraId="5CE86548" w14:textId="77777777" w:rsidR="00144C9E" w:rsidRPr="00B873C8" w:rsidRDefault="00DF2CFA">
            <w:pPr>
              <w:spacing w:line="360" w:lineRule="auto"/>
              <w:ind w:leftChars="114" w:left="479" w:hangingChars="100" w:hanging="24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 </w:t>
            </w: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（3）关注晚期肿瘤患者的生存质量</w:t>
            </w:r>
          </w:p>
          <w:p w14:paraId="2A626128" w14:textId="77777777" w:rsidR="00144C9E" w:rsidRPr="00B873C8" w:rsidRDefault="00DF2CF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近年来，医疗领域对晚期肿瘤患者的生存质量愈发重视。例如，辉瑞的同靶点药物</w:t>
            </w:r>
            <w:proofErr w:type="spellStart"/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Ponsegromab</w:t>
            </w:r>
            <w:proofErr w:type="spellEnd"/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已被证明能够显著改善患者的厌食症状及心理状态。这表明，针对恶病质的治疗不仅能缓解生理问题，还能改善患者的心理健康和生活质量。</w:t>
            </w:r>
          </w:p>
          <w:p w14:paraId="64E99381" w14:textId="77777777" w:rsidR="00144C9E" w:rsidRPr="00B873C8" w:rsidRDefault="00DF2CFA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   4、公司创新药的海外布局计划？以及BD出海预期？ </w:t>
            </w:r>
          </w:p>
          <w:p w14:paraId="1F46ED50" w14:textId="77777777" w:rsidR="00144C9E" w:rsidRPr="00B873C8" w:rsidRDefault="00DF2CF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答：公司正在积极推进国际化战略，致力于每年完成一定数量的创新药中美临床申报工作，以加速产品管线的国际化进程。与此同时，公司持续强化海外业务拓展（BD）能力，通过组建专业的中国和欧美BD团队，积极寻求与全球领先制药企业的深度合作。目前，多个创新药项目已进入合作洽谈阶段。此外，公司还加大了对外学术交流的力度，通过参与国际顶尖医药会议、发表高水平科研论文以及建立跨国研究合作伙伴关系等方式，不断提升自身在创新药物研发领域的国际影响力。</w:t>
            </w:r>
          </w:p>
          <w:p w14:paraId="7FF4636F" w14:textId="77777777" w:rsidR="00144C9E" w:rsidRPr="00B873C8" w:rsidRDefault="00DF2CFA">
            <w:pPr>
              <w:numPr>
                <w:ilvl w:val="0"/>
                <w:numId w:val="6"/>
              </w:num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公司目前国内和海外经营情况？25年是否有一些趋势上的指引？</w:t>
            </w:r>
          </w:p>
          <w:p w14:paraId="269E018D" w14:textId="77777777" w:rsidR="00144C9E" w:rsidRPr="00B873C8" w:rsidRDefault="00DF2CF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t>答：近年来，公司在国内和海外市场均取得了良好的经营成果，尤其在海外商业化方面表现尤为突出。作为一家深耕国际化多年的公司，我们早已布局全球市场，并在产品引进、注册以及销售等环节积累了丰富经验。2021年，公司明确制定了海外商业化战略，这一决策为后续发展奠定了坚实基础。目前，欧盟市场的白蛋白紫杉醇产品销售情况良好，同时，新产品的注册工作也在新兴市场多国稳步推进并陆续获批，进一步巩固了公司海外商业化平台价值。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br/>
              <w:t xml:space="preserve">    展望未来，公司计划依托成熟的海外商业化平台，在2025年持续引入新产品并推动其销售，从而实现业务的长期增长。预计在未来5-10年内，公司将不断拓展国际市场版图，覆盖更多区域与客户群体，确保海外商业化战略稳步实施。值得一提的是，根据公司2024年推出的股权激励计划，到2025年，外销收入增速目标设定为相比2023年增长200%-400%。</w:t>
            </w:r>
            <w:r w:rsidRPr="00B873C8">
              <w:rPr>
                <w:rFonts w:ascii="宋体" w:eastAsia="宋体" w:hAnsi="宋体" w:cs="宋体" w:hint="eastAsia"/>
                <w:sz w:val="24"/>
                <w:szCs w:val="24"/>
              </w:rPr>
              <w:br/>
              <w:t xml:space="preserve">    整体来看，依托公司清晰的战略规划和全体员工的共同努力，公司对未来业务发展充满期待，并将继续致力于为股东创造更大价值，为全球客户提供优质产品和服务。</w:t>
            </w:r>
          </w:p>
        </w:tc>
      </w:tr>
      <w:tr w:rsidR="00144C9E" w:rsidRPr="00B873C8" w14:paraId="6B2A6ACD" w14:textId="77777777">
        <w:tc>
          <w:tcPr>
            <w:tcW w:w="2679" w:type="dxa"/>
          </w:tcPr>
          <w:p w14:paraId="2A14F5A4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附件清单（如有）</w:t>
            </w:r>
          </w:p>
        </w:tc>
        <w:tc>
          <w:tcPr>
            <w:tcW w:w="5617" w:type="dxa"/>
          </w:tcPr>
          <w:p w14:paraId="1685BE9B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无</w:t>
            </w:r>
          </w:p>
        </w:tc>
      </w:tr>
      <w:tr w:rsidR="00144C9E" w14:paraId="333B12C2" w14:textId="77777777">
        <w:tc>
          <w:tcPr>
            <w:tcW w:w="2679" w:type="dxa"/>
          </w:tcPr>
          <w:p w14:paraId="3647CD52" w14:textId="77777777" w:rsidR="00144C9E" w:rsidRPr="00B873C8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日期</w:t>
            </w:r>
          </w:p>
        </w:tc>
        <w:tc>
          <w:tcPr>
            <w:tcW w:w="5617" w:type="dxa"/>
          </w:tcPr>
          <w:p w14:paraId="39A5C870" w14:textId="77777777" w:rsidR="00144C9E" w:rsidRDefault="00DF2CFA">
            <w:pPr>
              <w:rPr>
                <w:rFonts w:ascii="宋体" w:eastAsia="宋体" w:hAnsi="宋体"/>
                <w:sz w:val="24"/>
                <w:szCs w:val="28"/>
              </w:rPr>
            </w:pPr>
            <w:r w:rsidRPr="00B873C8">
              <w:rPr>
                <w:rFonts w:ascii="宋体" w:eastAsia="宋体" w:hAnsi="宋体" w:hint="eastAsia"/>
                <w:sz w:val="24"/>
                <w:szCs w:val="28"/>
              </w:rPr>
              <w:t>2025年5月28日</w:t>
            </w:r>
          </w:p>
        </w:tc>
      </w:tr>
      <w:bookmarkEnd w:id="0"/>
    </w:tbl>
    <w:p w14:paraId="2307D57A" w14:textId="77777777" w:rsidR="00144C9E" w:rsidRDefault="00144C9E">
      <w:pPr>
        <w:adjustRightInd w:val="0"/>
        <w:snapToGrid w:val="0"/>
        <w:spacing w:line="600" w:lineRule="exact"/>
        <w:rPr>
          <w:rFonts w:ascii="宋体" w:eastAsia="宋体" w:hAnsi="宋体" w:cs="Arial"/>
          <w:bCs/>
          <w:sz w:val="28"/>
          <w:szCs w:val="28"/>
        </w:rPr>
      </w:pPr>
    </w:p>
    <w:sectPr w:rsidR="00144C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8FCFB9"/>
    <w:multiLevelType w:val="singleLevel"/>
    <w:tmpl w:val="FA8FCFB9"/>
    <w:lvl w:ilvl="0">
      <w:start w:val="1"/>
      <w:numFmt w:val="decimalEnclosedCircleChinese"/>
      <w:suff w:val="nothing"/>
      <w:lvlText w:val="%1　"/>
      <w:lvlJc w:val="left"/>
      <w:pPr>
        <w:ind w:left="450" w:firstLine="400"/>
      </w:pPr>
      <w:rPr>
        <w:rFonts w:hint="eastAsia"/>
      </w:rPr>
    </w:lvl>
  </w:abstractNum>
  <w:abstractNum w:abstractNumId="1" w15:restartNumberingAfterBreak="0">
    <w:nsid w:val="0722114A"/>
    <w:multiLevelType w:val="multilevel"/>
    <w:tmpl w:val="07221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15A289F6"/>
    <w:multiLevelType w:val="singleLevel"/>
    <w:tmpl w:val="15A289F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2FAF53E7"/>
    <w:multiLevelType w:val="singleLevel"/>
    <w:tmpl w:val="2FAF53E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4D60975"/>
    <w:multiLevelType w:val="singleLevel"/>
    <w:tmpl w:val="44D6097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7B482AC9"/>
    <w:multiLevelType w:val="singleLevel"/>
    <w:tmpl w:val="7B482AC9"/>
    <w:lvl w:ilvl="0">
      <w:start w:val="5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mMzg2Y2U0NjMzNzhiNDNlNjkwZjQ1ZjE5YTIzMTEifQ=="/>
  </w:docVars>
  <w:rsids>
    <w:rsidRoot w:val="00D01F78"/>
    <w:rsid w:val="A7FB46CC"/>
    <w:rsid w:val="ADFE30C7"/>
    <w:rsid w:val="B3EF720F"/>
    <w:rsid w:val="BBFBBD9A"/>
    <w:rsid w:val="BBFF1E88"/>
    <w:rsid w:val="BBFFC7D7"/>
    <w:rsid w:val="BDFFB2CD"/>
    <w:rsid w:val="BEB7173E"/>
    <w:rsid w:val="BF9FAC95"/>
    <w:rsid w:val="BFAF82D5"/>
    <w:rsid w:val="BFF3AA98"/>
    <w:rsid w:val="BFFFEFE8"/>
    <w:rsid w:val="C76FCAFB"/>
    <w:rsid w:val="D6FB872C"/>
    <w:rsid w:val="D7BC1E64"/>
    <w:rsid w:val="DDFF236C"/>
    <w:rsid w:val="DFFCD7E4"/>
    <w:rsid w:val="DFFF700E"/>
    <w:rsid w:val="EBC5AD87"/>
    <w:rsid w:val="EF9D0B5E"/>
    <w:rsid w:val="EFF995FE"/>
    <w:rsid w:val="F63FF461"/>
    <w:rsid w:val="F9DA9629"/>
    <w:rsid w:val="F9FD851F"/>
    <w:rsid w:val="FB3F6A81"/>
    <w:rsid w:val="FBBF658C"/>
    <w:rsid w:val="FBBFFB3A"/>
    <w:rsid w:val="FBFB84BE"/>
    <w:rsid w:val="FDEF09A5"/>
    <w:rsid w:val="FDFC139B"/>
    <w:rsid w:val="FEFFD3DA"/>
    <w:rsid w:val="FF7302C5"/>
    <w:rsid w:val="FFDF3D19"/>
    <w:rsid w:val="FFEFB528"/>
    <w:rsid w:val="FFFF9F76"/>
    <w:rsid w:val="00017BA8"/>
    <w:rsid w:val="00023F72"/>
    <w:rsid w:val="0002651D"/>
    <w:rsid w:val="000320FD"/>
    <w:rsid w:val="00063668"/>
    <w:rsid w:val="0006783E"/>
    <w:rsid w:val="0008206E"/>
    <w:rsid w:val="000835AF"/>
    <w:rsid w:val="000B5BFD"/>
    <w:rsid w:val="000E7B1F"/>
    <w:rsid w:val="000F6EDF"/>
    <w:rsid w:val="00100E4D"/>
    <w:rsid w:val="001234DD"/>
    <w:rsid w:val="00126577"/>
    <w:rsid w:val="001277C0"/>
    <w:rsid w:val="00144C9E"/>
    <w:rsid w:val="00150A31"/>
    <w:rsid w:val="00163DCA"/>
    <w:rsid w:val="001871C9"/>
    <w:rsid w:val="001909E5"/>
    <w:rsid w:val="00195C5C"/>
    <w:rsid w:val="001B74C2"/>
    <w:rsid w:val="001D3191"/>
    <w:rsid w:val="001D5233"/>
    <w:rsid w:val="001D580A"/>
    <w:rsid w:val="00243936"/>
    <w:rsid w:val="002676EF"/>
    <w:rsid w:val="0027417D"/>
    <w:rsid w:val="00276E0F"/>
    <w:rsid w:val="00281AD0"/>
    <w:rsid w:val="0029042B"/>
    <w:rsid w:val="00293113"/>
    <w:rsid w:val="00295218"/>
    <w:rsid w:val="002A4BF1"/>
    <w:rsid w:val="002C6F89"/>
    <w:rsid w:val="002F1919"/>
    <w:rsid w:val="002F5CA1"/>
    <w:rsid w:val="00301D0B"/>
    <w:rsid w:val="003034AC"/>
    <w:rsid w:val="0034205E"/>
    <w:rsid w:val="00361860"/>
    <w:rsid w:val="003705F8"/>
    <w:rsid w:val="0037638C"/>
    <w:rsid w:val="003B4DFD"/>
    <w:rsid w:val="003E363B"/>
    <w:rsid w:val="003E6F30"/>
    <w:rsid w:val="004112D0"/>
    <w:rsid w:val="00412429"/>
    <w:rsid w:val="0045773B"/>
    <w:rsid w:val="004870F3"/>
    <w:rsid w:val="004A5175"/>
    <w:rsid w:val="004B522C"/>
    <w:rsid w:val="004D06AE"/>
    <w:rsid w:val="004D165B"/>
    <w:rsid w:val="004D42F2"/>
    <w:rsid w:val="004E632F"/>
    <w:rsid w:val="004F0634"/>
    <w:rsid w:val="004F0672"/>
    <w:rsid w:val="004F7BB5"/>
    <w:rsid w:val="005039D4"/>
    <w:rsid w:val="005549A9"/>
    <w:rsid w:val="005601A0"/>
    <w:rsid w:val="0056177A"/>
    <w:rsid w:val="005713CD"/>
    <w:rsid w:val="00582124"/>
    <w:rsid w:val="00587097"/>
    <w:rsid w:val="00591CCE"/>
    <w:rsid w:val="005B79E0"/>
    <w:rsid w:val="005C6BA9"/>
    <w:rsid w:val="005C73B8"/>
    <w:rsid w:val="005D60DB"/>
    <w:rsid w:val="005E3768"/>
    <w:rsid w:val="005E3DEB"/>
    <w:rsid w:val="005E7168"/>
    <w:rsid w:val="00615B88"/>
    <w:rsid w:val="00617645"/>
    <w:rsid w:val="00620070"/>
    <w:rsid w:val="00623D6A"/>
    <w:rsid w:val="00625737"/>
    <w:rsid w:val="006527A9"/>
    <w:rsid w:val="00664533"/>
    <w:rsid w:val="00683DF7"/>
    <w:rsid w:val="0069148C"/>
    <w:rsid w:val="006978C5"/>
    <w:rsid w:val="006A2159"/>
    <w:rsid w:val="006C46BF"/>
    <w:rsid w:val="006C656E"/>
    <w:rsid w:val="006E022C"/>
    <w:rsid w:val="00702E1A"/>
    <w:rsid w:val="00707D35"/>
    <w:rsid w:val="00707EED"/>
    <w:rsid w:val="007426C3"/>
    <w:rsid w:val="0074398F"/>
    <w:rsid w:val="00743EA9"/>
    <w:rsid w:val="00751BFA"/>
    <w:rsid w:val="00757A0F"/>
    <w:rsid w:val="007622A7"/>
    <w:rsid w:val="007651AA"/>
    <w:rsid w:val="00766702"/>
    <w:rsid w:val="00771B8C"/>
    <w:rsid w:val="007B05AF"/>
    <w:rsid w:val="007B4AE5"/>
    <w:rsid w:val="007D0DE0"/>
    <w:rsid w:val="007D22E2"/>
    <w:rsid w:val="007E072B"/>
    <w:rsid w:val="007E5F2A"/>
    <w:rsid w:val="007F4C86"/>
    <w:rsid w:val="007F5D09"/>
    <w:rsid w:val="0080283F"/>
    <w:rsid w:val="00810379"/>
    <w:rsid w:val="00815E6B"/>
    <w:rsid w:val="00831F56"/>
    <w:rsid w:val="00843075"/>
    <w:rsid w:val="008831EB"/>
    <w:rsid w:val="008A03B4"/>
    <w:rsid w:val="008A74CD"/>
    <w:rsid w:val="008B68A6"/>
    <w:rsid w:val="008C48ED"/>
    <w:rsid w:val="008D7299"/>
    <w:rsid w:val="008F2E43"/>
    <w:rsid w:val="008F43E1"/>
    <w:rsid w:val="0091482B"/>
    <w:rsid w:val="00922D94"/>
    <w:rsid w:val="009454C4"/>
    <w:rsid w:val="009624C1"/>
    <w:rsid w:val="009C7743"/>
    <w:rsid w:val="009D58DE"/>
    <w:rsid w:val="009E77EC"/>
    <w:rsid w:val="00A16FBE"/>
    <w:rsid w:val="00A2137D"/>
    <w:rsid w:val="00A63554"/>
    <w:rsid w:val="00A66F37"/>
    <w:rsid w:val="00A6752E"/>
    <w:rsid w:val="00A7239C"/>
    <w:rsid w:val="00A741EA"/>
    <w:rsid w:val="00A762A3"/>
    <w:rsid w:val="00A855E4"/>
    <w:rsid w:val="00A921AE"/>
    <w:rsid w:val="00A96291"/>
    <w:rsid w:val="00AC0420"/>
    <w:rsid w:val="00AC0DEF"/>
    <w:rsid w:val="00AD176B"/>
    <w:rsid w:val="00AE79CE"/>
    <w:rsid w:val="00AF47D9"/>
    <w:rsid w:val="00B21809"/>
    <w:rsid w:val="00B549F4"/>
    <w:rsid w:val="00B663D4"/>
    <w:rsid w:val="00B71EA5"/>
    <w:rsid w:val="00B873C8"/>
    <w:rsid w:val="00B91907"/>
    <w:rsid w:val="00B91942"/>
    <w:rsid w:val="00BC384C"/>
    <w:rsid w:val="00BF3900"/>
    <w:rsid w:val="00C14362"/>
    <w:rsid w:val="00C159AE"/>
    <w:rsid w:val="00C37FB8"/>
    <w:rsid w:val="00C44CE5"/>
    <w:rsid w:val="00C5038E"/>
    <w:rsid w:val="00C630BF"/>
    <w:rsid w:val="00C64024"/>
    <w:rsid w:val="00C701AF"/>
    <w:rsid w:val="00CA1F0B"/>
    <w:rsid w:val="00CA6D56"/>
    <w:rsid w:val="00CB6760"/>
    <w:rsid w:val="00CB7DA7"/>
    <w:rsid w:val="00CC6993"/>
    <w:rsid w:val="00CE1238"/>
    <w:rsid w:val="00CE3BED"/>
    <w:rsid w:val="00CF4359"/>
    <w:rsid w:val="00D01F78"/>
    <w:rsid w:val="00D05220"/>
    <w:rsid w:val="00D10138"/>
    <w:rsid w:val="00D10669"/>
    <w:rsid w:val="00D1388F"/>
    <w:rsid w:val="00D209E3"/>
    <w:rsid w:val="00D24252"/>
    <w:rsid w:val="00D41195"/>
    <w:rsid w:val="00D4207D"/>
    <w:rsid w:val="00D64BFC"/>
    <w:rsid w:val="00D708AC"/>
    <w:rsid w:val="00D94544"/>
    <w:rsid w:val="00DB41D1"/>
    <w:rsid w:val="00DC450D"/>
    <w:rsid w:val="00DC4B44"/>
    <w:rsid w:val="00DD6FE2"/>
    <w:rsid w:val="00DF0381"/>
    <w:rsid w:val="00DF1242"/>
    <w:rsid w:val="00DF2CFA"/>
    <w:rsid w:val="00E01B97"/>
    <w:rsid w:val="00E12CA3"/>
    <w:rsid w:val="00E140E3"/>
    <w:rsid w:val="00E3506B"/>
    <w:rsid w:val="00E645CE"/>
    <w:rsid w:val="00E819ED"/>
    <w:rsid w:val="00E82DD5"/>
    <w:rsid w:val="00E92150"/>
    <w:rsid w:val="00EA130C"/>
    <w:rsid w:val="00EB1223"/>
    <w:rsid w:val="00EB4654"/>
    <w:rsid w:val="00F10E1F"/>
    <w:rsid w:val="00F2295F"/>
    <w:rsid w:val="00F2319F"/>
    <w:rsid w:val="00F27441"/>
    <w:rsid w:val="00F318AE"/>
    <w:rsid w:val="00F4323B"/>
    <w:rsid w:val="00F542C0"/>
    <w:rsid w:val="00F64E18"/>
    <w:rsid w:val="00F71BDA"/>
    <w:rsid w:val="00F77901"/>
    <w:rsid w:val="00F84DFE"/>
    <w:rsid w:val="00F9005E"/>
    <w:rsid w:val="00FB5666"/>
    <w:rsid w:val="00FC4A7B"/>
    <w:rsid w:val="00FE05DE"/>
    <w:rsid w:val="00FE2680"/>
    <w:rsid w:val="00FF051C"/>
    <w:rsid w:val="00FF18F9"/>
    <w:rsid w:val="00FF3069"/>
    <w:rsid w:val="01470407"/>
    <w:rsid w:val="0159017F"/>
    <w:rsid w:val="018F2EE2"/>
    <w:rsid w:val="01A050EF"/>
    <w:rsid w:val="01C54B55"/>
    <w:rsid w:val="01CE7C0A"/>
    <w:rsid w:val="01DD2318"/>
    <w:rsid w:val="023618CA"/>
    <w:rsid w:val="02515B4C"/>
    <w:rsid w:val="028E2F98"/>
    <w:rsid w:val="02B82B4C"/>
    <w:rsid w:val="02CA7C7C"/>
    <w:rsid w:val="02DB0613"/>
    <w:rsid w:val="02F02042"/>
    <w:rsid w:val="033A4CF6"/>
    <w:rsid w:val="033D1DCF"/>
    <w:rsid w:val="037203C5"/>
    <w:rsid w:val="043930E0"/>
    <w:rsid w:val="049401F6"/>
    <w:rsid w:val="04B52C5F"/>
    <w:rsid w:val="058F173B"/>
    <w:rsid w:val="059370C8"/>
    <w:rsid w:val="06823015"/>
    <w:rsid w:val="06ED3ED5"/>
    <w:rsid w:val="071C433A"/>
    <w:rsid w:val="071E3DAE"/>
    <w:rsid w:val="0768280C"/>
    <w:rsid w:val="076938CE"/>
    <w:rsid w:val="076B3AA9"/>
    <w:rsid w:val="077352D8"/>
    <w:rsid w:val="07C2786C"/>
    <w:rsid w:val="07D739DE"/>
    <w:rsid w:val="08FE7EA5"/>
    <w:rsid w:val="092F1D3F"/>
    <w:rsid w:val="096B4234"/>
    <w:rsid w:val="0992531D"/>
    <w:rsid w:val="0A3F3F1C"/>
    <w:rsid w:val="0AE0615E"/>
    <w:rsid w:val="0B031AD7"/>
    <w:rsid w:val="0B10415B"/>
    <w:rsid w:val="0B2524D9"/>
    <w:rsid w:val="0BCC7C0F"/>
    <w:rsid w:val="0BCF2858"/>
    <w:rsid w:val="0C2F779B"/>
    <w:rsid w:val="0C3A1825"/>
    <w:rsid w:val="0C830F3B"/>
    <w:rsid w:val="0D115D9B"/>
    <w:rsid w:val="0D5079C9"/>
    <w:rsid w:val="0D754339"/>
    <w:rsid w:val="0D754C02"/>
    <w:rsid w:val="0D814189"/>
    <w:rsid w:val="0D927D14"/>
    <w:rsid w:val="0DC45CC1"/>
    <w:rsid w:val="0DD25C19"/>
    <w:rsid w:val="0DDD4AC0"/>
    <w:rsid w:val="0DE63E89"/>
    <w:rsid w:val="0E6810E9"/>
    <w:rsid w:val="0E947D89"/>
    <w:rsid w:val="0EA0672E"/>
    <w:rsid w:val="0EF60614"/>
    <w:rsid w:val="0F2E5AE8"/>
    <w:rsid w:val="0F4E29E4"/>
    <w:rsid w:val="0F5721C2"/>
    <w:rsid w:val="0FCD09AB"/>
    <w:rsid w:val="10003EDA"/>
    <w:rsid w:val="10202EA2"/>
    <w:rsid w:val="103B39EF"/>
    <w:rsid w:val="104B02FC"/>
    <w:rsid w:val="10947C2E"/>
    <w:rsid w:val="10EB5020"/>
    <w:rsid w:val="11041692"/>
    <w:rsid w:val="11283480"/>
    <w:rsid w:val="113D0264"/>
    <w:rsid w:val="113E5D8A"/>
    <w:rsid w:val="115455AE"/>
    <w:rsid w:val="11953FDD"/>
    <w:rsid w:val="11F02AD1"/>
    <w:rsid w:val="12200B6D"/>
    <w:rsid w:val="12683281"/>
    <w:rsid w:val="126F6B43"/>
    <w:rsid w:val="12D17F56"/>
    <w:rsid w:val="12F325E0"/>
    <w:rsid w:val="139212B7"/>
    <w:rsid w:val="13DE1F8C"/>
    <w:rsid w:val="14697FC7"/>
    <w:rsid w:val="146D2C0E"/>
    <w:rsid w:val="14BA3FCB"/>
    <w:rsid w:val="14FA4E9A"/>
    <w:rsid w:val="150652B2"/>
    <w:rsid w:val="15802E15"/>
    <w:rsid w:val="15B13003"/>
    <w:rsid w:val="160E0421"/>
    <w:rsid w:val="166B13D0"/>
    <w:rsid w:val="169B5EBF"/>
    <w:rsid w:val="17740758"/>
    <w:rsid w:val="178564C1"/>
    <w:rsid w:val="17B3460D"/>
    <w:rsid w:val="17BC366D"/>
    <w:rsid w:val="18292E76"/>
    <w:rsid w:val="186007B8"/>
    <w:rsid w:val="18BA0087"/>
    <w:rsid w:val="18C21ACA"/>
    <w:rsid w:val="18C57ED2"/>
    <w:rsid w:val="18DB34CA"/>
    <w:rsid w:val="18E85C8C"/>
    <w:rsid w:val="18E96456"/>
    <w:rsid w:val="190B50EC"/>
    <w:rsid w:val="19241AA1"/>
    <w:rsid w:val="194B54E8"/>
    <w:rsid w:val="19973C65"/>
    <w:rsid w:val="19EE7B83"/>
    <w:rsid w:val="1A293A71"/>
    <w:rsid w:val="1A333834"/>
    <w:rsid w:val="1A8D33D8"/>
    <w:rsid w:val="1ADE2D63"/>
    <w:rsid w:val="1ADF238C"/>
    <w:rsid w:val="1B404402"/>
    <w:rsid w:val="1B721452"/>
    <w:rsid w:val="1B9E18B2"/>
    <w:rsid w:val="1C3404B6"/>
    <w:rsid w:val="1C387FA6"/>
    <w:rsid w:val="1C3D736A"/>
    <w:rsid w:val="1C626A97"/>
    <w:rsid w:val="1CE15AF5"/>
    <w:rsid w:val="1D2D73DF"/>
    <w:rsid w:val="1D2D780D"/>
    <w:rsid w:val="1D552DD9"/>
    <w:rsid w:val="1DA50771"/>
    <w:rsid w:val="1DAA169F"/>
    <w:rsid w:val="1DB573D4"/>
    <w:rsid w:val="1E4804A6"/>
    <w:rsid w:val="1E7A19C6"/>
    <w:rsid w:val="1EAA034F"/>
    <w:rsid w:val="1F613548"/>
    <w:rsid w:val="1F9A129F"/>
    <w:rsid w:val="1FA417E6"/>
    <w:rsid w:val="1FAB4F33"/>
    <w:rsid w:val="1FCF491A"/>
    <w:rsid w:val="20254CE5"/>
    <w:rsid w:val="202A22FB"/>
    <w:rsid w:val="20415581"/>
    <w:rsid w:val="20634C25"/>
    <w:rsid w:val="20AF45AF"/>
    <w:rsid w:val="20F6373E"/>
    <w:rsid w:val="21187E9A"/>
    <w:rsid w:val="213571AA"/>
    <w:rsid w:val="215B5006"/>
    <w:rsid w:val="215F5FD5"/>
    <w:rsid w:val="219C2D85"/>
    <w:rsid w:val="22827E15"/>
    <w:rsid w:val="22F470FB"/>
    <w:rsid w:val="232E5091"/>
    <w:rsid w:val="23303983"/>
    <w:rsid w:val="236D2C2B"/>
    <w:rsid w:val="237F2252"/>
    <w:rsid w:val="24227B5B"/>
    <w:rsid w:val="245E2574"/>
    <w:rsid w:val="24997A50"/>
    <w:rsid w:val="24F24727"/>
    <w:rsid w:val="25695674"/>
    <w:rsid w:val="256A520F"/>
    <w:rsid w:val="259D6FE8"/>
    <w:rsid w:val="25BB1079"/>
    <w:rsid w:val="25D64C34"/>
    <w:rsid w:val="26715206"/>
    <w:rsid w:val="26A50FFC"/>
    <w:rsid w:val="26B14BF8"/>
    <w:rsid w:val="26B50445"/>
    <w:rsid w:val="26FA1719"/>
    <w:rsid w:val="26FC812D"/>
    <w:rsid w:val="270E75B1"/>
    <w:rsid w:val="274A4623"/>
    <w:rsid w:val="275C7382"/>
    <w:rsid w:val="277A0C19"/>
    <w:rsid w:val="277A5916"/>
    <w:rsid w:val="27AD1B76"/>
    <w:rsid w:val="28345287"/>
    <w:rsid w:val="283B4EB7"/>
    <w:rsid w:val="28CB3F50"/>
    <w:rsid w:val="28FB2A87"/>
    <w:rsid w:val="293924A1"/>
    <w:rsid w:val="297E7214"/>
    <w:rsid w:val="298A0E22"/>
    <w:rsid w:val="2A007C29"/>
    <w:rsid w:val="2A4E4E38"/>
    <w:rsid w:val="2A8541B6"/>
    <w:rsid w:val="2ACA2711"/>
    <w:rsid w:val="2B05744C"/>
    <w:rsid w:val="2B4C758D"/>
    <w:rsid w:val="2B9E594C"/>
    <w:rsid w:val="2BCC1714"/>
    <w:rsid w:val="2BD72A66"/>
    <w:rsid w:val="2C220FED"/>
    <w:rsid w:val="2CAE2072"/>
    <w:rsid w:val="2D555F32"/>
    <w:rsid w:val="2D7921CC"/>
    <w:rsid w:val="2DB31A09"/>
    <w:rsid w:val="2DBB4593"/>
    <w:rsid w:val="2DE1366E"/>
    <w:rsid w:val="2E2B136E"/>
    <w:rsid w:val="2E4A7906"/>
    <w:rsid w:val="2E6F95D5"/>
    <w:rsid w:val="2E7035CF"/>
    <w:rsid w:val="2E81758A"/>
    <w:rsid w:val="2E8C5F2F"/>
    <w:rsid w:val="2E9274D5"/>
    <w:rsid w:val="2EDC6EB7"/>
    <w:rsid w:val="2F805A94"/>
    <w:rsid w:val="2F9C48AA"/>
    <w:rsid w:val="2FBF7E2F"/>
    <w:rsid w:val="2FFE05C5"/>
    <w:rsid w:val="300B11CE"/>
    <w:rsid w:val="30124E8E"/>
    <w:rsid w:val="30695248"/>
    <w:rsid w:val="31A2487C"/>
    <w:rsid w:val="31BA6175"/>
    <w:rsid w:val="3276317E"/>
    <w:rsid w:val="32AD0087"/>
    <w:rsid w:val="32AE05FD"/>
    <w:rsid w:val="32B829B4"/>
    <w:rsid w:val="32BF7CE3"/>
    <w:rsid w:val="33393B89"/>
    <w:rsid w:val="335F3EC7"/>
    <w:rsid w:val="336970F4"/>
    <w:rsid w:val="342F6F9B"/>
    <w:rsid w:val="344E43B3"/>
    <w:rsid w:val="34DC2D1A"/>
    <w:rsid w:val="35321EDC"/>
    <w:rsid w:val="355C48AD"/>
    <w:rsid w:val="36203B2D"/>
    <w:rsid w:val="36251143"/>
    <w:rsid w:val="36354C71"/>
    <w:rsid w:val="3687595A"/>
    <w:rsid w:val="369159FD"/>
    <w:rsid w:val="37024FE0"/>
    <w:rsid w:val="37355603"/>
    <w:rsid w:val="377C4D93"/>
    <w:rsid w:val="37802F46"/>
    <w:rsid w:val="37A7BB08"/>
    <w:rsid w:val="37B96292"/>
    <w:rsid w:val="37D7646D"/>
    <w:rsid w:val="37D83BF4"/>
    <w:rsid w:val="37E560D4"/>
    <w:rsid w:val="37F65BD2"/>
    <w:rsid w:val="38A307A0"/>
    <w:rsid w:val="38B47EFD"/>
    <w:rsid w:val="38E370CB"/>
    <w:rsid w:val="39290F4A"/>
    <w:rsid w:val="39A84565"/>
    <w:rsid w:val="39BA7DF4"/>
    <w:rsid w:val="39C03E87"/>
    <w:rsid w:val="39DEC4CD"/>
    <w:rsid w:val="39E0610D"/>
    <w:rsid w:val="3A0816C3"/>
    <w:rsid w:val="3AE05B05"/>
    <w:rsid w:val="3B034704"/>
    <w:rsid w:val="3B7B4F44"/>
    <w:rsid w:val="3BA90120"/>
    <w:rsid w:val="3BE811F0"/>
    <w:rsid w:val="3BFD046C"/>
    <w:rsid w:val="3C073099"/>
    <w:rsid w:val="3C0D67D4"/>
    <w:rsid w:val="3C485B8B"/>
    <w:rsid w:val="3CB4598C"/>
    <w:rsid w:val="3CE16544"/>
    <w:rsid w:val="3D0B47E4"/>
    <w:rsid w:val="3D337DEB"/>
    <w:rsid w:val="3D654764"/>
    <w:rsid w:val="3D7F62A1"/>
    <w:rsid w:val="3DD33F80"/>
    <w:rsid w:val="3DF73674"/>
    <w:rsid w:val="3DFB6F7A"/>
    <w:rsid w:val="3E483C21"/>
    <w:rsid w:val="3EAD617A"/>
    <w:rsid w:val="3EBF4619"/>
    <w:rsid w:val="3F210961"/>
    <w:rsid w:val="40225A46"/>
    <w:rsid w:val="40926CEA"/>
    <w:rsid w:val="40A0524F"/>
    <w:rsid w:val="42A73629"/>
    <w:rsid w:val="431B5DA8"/>
    <w:rsid w:val="432904DA"/>
    <w:rsid w:val="432C260C"/>
    <w:rsid w:val="43A33000"/>
    <w:rsid w:val="43AD2778"/>
    <w:rsid w:val="43CF06E2"/>
    <w:rsid w:val="43D321DE"/>
    <w:rsid w:val="440C3942"/>
    <w:rsid w:val="4415591B"/>
    <w:rsid w:val="441E30A5"/>
    <w:rsid w:val="44224C14"/>
    <w:rsid w:val="444F7F84"/>
    <w:rsid w:val="445A5831"/>
    <w:rsid w:val="45101210"/>
    <w:rsid w:val="452E1696"/>
    <w:rsid w:val="45A147EE"/>
    <w:rsid w:val="45C516E0"/>
    <w:rsid w:val="460B3709"/>
    <w:rsid w:val="46C978C9"/>
    <w:rsid w:val="46CB1893"/>
    <w:rsid w:val="471C20EE"/>
    <w:rsid w:val="477E5958"/>
    <w:rsid w:val="47BA2898"/>
    <w:rsid w:val="4812704D"/>
    <w:rsid w:val="4875082B"/>
    <w:rsid w:val="48C10A8F"/>
    <w:rsid w:val="48CA2379"/>
    <w:rsid w:val="48E8191E"/>
    <w:rsid w:val="496960B9"/>
    <w:rsid w:val="497511EE"/>
    <w:rsid w:val="4987619D"/>
    <w:rsid w:val="4A471230"/>
    <w:rsid w:val="4A5D23A6"/>
    <w:rsid w:val="4A7F4E6E"/>
    <w:rsid w:val="4AE41175"/>
    <w:rsid w:val="4B023650"/>
    <w:rsid w:val="4B0B161A"/>
    <w:rsid w:val="4B490F25"/>
    <w:rsid w:val="4BC77420"/>
    <w:rsid w:val="4C251A45"/>
    <w:rsid w:val="4C322340"/>
    <w:rsid w:val="4C46376A"/>
    <w:rsid w:val="4CFC3EC0"/>
    <w:rsid w:val="4DA86B6F"/>
    <w:rsid w:val="4DD86643"/>
    <w:rsid w:val="4DFA760C"/>
    <w:rsid w:val="4E440697"/>
    <w:rsid w:val="4E46094E"/>
    <w:rsid w:val="4E7F438E"/>
    <w:rsid w:val="4EE35F2B"/>
    <w:rsid w:val="4EE51018"/>
    <w:rsid w:val="4EE935F1"/>
    <w:rsid w:val="4EE96D5A"/>
    <w:rsid w:val="4EEF11DC"/>
    <w:rsid w:val="4EF4153C"/>
    <w:rsid w:val="4F7D2F8F"/>
    <w:rsid w:val="4F824817"/>
    <w:rsid w:val="4F9949B0"/>
    <w:rsid w:val="4FAB04B3"/>
    <w:rsid w:val="4FC36B40"/>
    <w:rsid w:val="500F6132"/>
    <w:rsid w:val="502879A6"/>
    <w:rsid w:val="51EE6435"/>
    <w:rsid w:val="52387763"/>
    <w:rsid w:val="52656D93"/>
    <w:rsid w:val="52A63D17"/>
    <w:rsid w:val="52A87AAA"/>
    <w:rsid w:val="52AD4542"/>
    <w:rsid w:val="52E92FBC"/>
    <w:rsid w:val="52F16B0B"/>
    <w:rsid w:val="53755C4B"/>
    <w:rsid w:val="5443679D"/>
    <w:rsid w:val="550A7A2A"/>
    <w:rsid w:val="561A28CB"/>
    <w:rsid w:val="5627460C"/>
    <w:rsid w:val="56510FA5"/>
    <w:rsid w:val="566273F2"/>
    <w:rsid w:val="56C67981"/>
    <w:rsid w:val="56D55173"/>
    <w:rsid w:val="57CE32A0"/>
    <w:rsid w:val="57FD33AA"/>
    <w:rsid w:val="57FDC65D"/>
    <w:rsid w:val="581666E6"/>
    <w:rsid w:val="58450D79"/>
    <w:rsid w:val="596E48EA"/>
    <w:rsid w:val="59701E26"/>
    <w:rsid w:val="5A201A9E"/>
    <w:rsid w:val="5A32563D"/>
    <w:rsid w:val="5A7616BE"/>
    <w:rsid w:val="5A957D96"/>
    <w:rsid w:val="5AC01661"/>
    <w:rsid w:val="5AE14D89"/>
    <w:rsid w:val="5AFF4BED"/>
    <w:rsid w:val="5B4D764F"/>
    <w:rsid w:val="5B8F6EDB"/>
    <w:rsid w:val="5BC43166"/>
    <w:rsid w:val="5BCE55CA"/>
    <w:rsid w:val="5BD40F83"/>
    <w:rsid w:val="5C846771"/>
    <w:rsid w:val="5D4E2F89"/>
    <w:rsid w:val="5D6B1282"/>
    <w:rsid w:val="5D6B74D4"/>
    <w:rsid w:val="5D852DBC"/>
    <w:rsid w:val="5D9A4018"/>
    <w:rsid w:val="5E340776"/>
    <w:rsid w:val="5F3E6EDB"/>
    <w:rsid w:val="5FC15189"/>
    <w:rsid w:val="5FCB2B29"/>
    <w:rsid w:val="6019338F"/>
    <w:rsid w:val="60641CA4"/>
    <w:rsid w:val="60690934"/>
    <w:rsid w:val="606A6F1C"/>
    <w:rsid w:val="60AC6547"/>
    <w:rsid w:val="60E05068"/>
    <w:rsid w:val="60F5158E"/>
    <w:rsid w:val="612937BD"/>
    <w:rsid w:val="61355E2F"/>
    <w:rsid w:val="616C090E"/>
    <w:rsid w:val="6205183D"/>
    <w:rsid w:val="620C4474"/>
    <w:rsid w:val="62910BEB"/>
    <w:rsid w:val="62AB4AE4"/>
    <w:rsid w:val="63220635"/>
    <w:rsid w:val="63675EDB"/>
    <w:rsid w:val="63BC2E07"/>
    <w:rsid w:val="640F5C22"/>
    <w:rsid w:val="64726B60"/>
    <w:rsid w:val="6477050C"/>
    <w:rsid w:val="647E15DC"/>
    <w:rsid w:val="64875FB1"/>
    <w:rsid w:val="64A62BA0"/>
    <w:rsid w:val="64A75419"/>
    <w:rsid w:val="64C37BF6"/>
    <w:rsid w:val="64CF2713"/>
    <w:rsid w:val="64E835BA"/>
    <w:rsid w:val="65236E07"/>
    <w:rsid w:val="653528A1"/>
    <w:rsid w:val="65790817"/>
    <w:rsid w:val="65FF07B9"/>
    <w:rsid w:val="663618E6"/>
    <w:rsid w:val="6696745A"/>
    <w:rsid w:val="66990F25"/>
    <w:rsid w:val="66E16DAB"/>
    <w:rsid w:val="670D5158"/>
    <w:rsid w:val="675A4125"/>
    <w:rsid w:val="676B6AE6"/>
    <w:rsid w:val="679B209C"/>
    <w:rsid w:val="67DFBB24"/>
    <w:rsid w:val="67E61C31"/>
    <w:rsid w:val="67F7E9FE"/>
    <w:rsid w:val="686B0388"/>
    <w:rsid w:val="688C0889"/>
    <w:rsid w:val="693B5FAC"/>
    <w:rsid w:val="69601EB7"/>
    <w:rsid w:val="699D0A15"/>
    <w:rsid w:val="69A27DD9"/>
    <w:rsid w:val="69B33F8A"/>
    <w:rsid w:val="69DA7573"/>
    <w:rsid w:val="69FA15DB"/>
    <w:rsid w:val="6A1E5FC8"/>
    <w:rsid w:val="6A690982"/>
    <w:rsid w:val="6A745C1A"/>
    <w:rsid w:val="6A971908"/>
    <w:rsid w:val="6AC43C07"/>
    <w:rsid w:val="6B4F5D3F"/>
    <w:rsid w:val="6BB2015F"/>
    <w:rsid w:val="6C3C2767"/>
    <w:rsid w:val="6CB31DC6"/>
    <w:rsid w:val="6D3C22F3"/>
    <w:rsid w:val="6D4160FA"/>
    <w:rsid w:val="6D5E3752"/>
    <w:rsid w:val="6D9602FA"/>
    <w:rsid w:val="6DFDEBC9"/>
    <w:rsid w:val="6E292877"/>
    <w:rsid w:val="6E3556C0"/>
    <w:rsid w:val="6ED529FF"/>
    <w:rsid w:val="6EDA0F52"/>
    <w:rsid w:val="6EFC1D3A"/>
    <w:rsid w:val="6F34261A"/>
    <w:rsid w:val="6F4006B4"/>
    <w:rsid w:val="6FE253D4"/>
    <w:rsid w:val="6FF44DE9"/>
    <w:rsid w:val="6FFE2E24"/>
    <w:rsid w:val="700D4FB9"/>
    <w:rsid w:val="700D7A07"/>
    <w:rsid w:val="702D045C"/>
    <w:rsid w:val="704B11CB"/>
    <w:rsid w:val="7060454A"/>
    <w:rsid w:val="70D828FD"/>
    <w:rsid w:val="70F53EBA"/>
    <w:rsid w:val="711D200E"/>
    <w:rsid w:val="715D17B1"/>
    <w:rsid w:val="716A6C31"/>
    <w:rsid w:val="718A7AD1"/>
    <w:rsid w:val="71A877BD"/>
    <w:rsid w:val="71E27C7B"/>
    <w:rsid w:val="71F74A0E"/>
    <w:rsid w:val="721455EC"/>
    <w:rsid w:val="724623DA"/>
    <w:rsid w:val="72486671"/>
    <w:rsid w:val="730409A8"/>
    <w:rsid w:val="73CA3A9A"/>
    <w:rsid w:val="73E3171A"/>
    <w:rsid w:val="73FF607A"/>
    <w:rsid w:val="74C70D53"/>
    <w:rsid w:val="74D379E1"/>
    <w:rsid w:val="7536663D"/>
    <w:rsid w:val="75401EA6"/>
    <w:rsid w:val="75613F66"/>
    <w:rsid w:val="757271FA"/>
    <w:rsid w:val="75C6103F"/>
    <w:rsid w:val="761936F0"/>
    <w:rsid w:val="76595CC4"/>
    <w:rsid w:val="767D7C04"/>
    <w:rsid w:val="768F760E"/>
    <w:rsid w:val="76A63608"/>
    <w:rsid w:val="76AC16B2"/>
    <w:rsid w:val="76BA0E58"/>
    <w:rsid w:val="77172E01"/>
    <w:rsid w:val="774231D8"/>
    <w:rsid w:val="77DA5FB4"/>
    <w:rsid w:val="77FBF1CF"/>
    <w:rsid w:val="785421A6"/>
    <w:rsid w:val="79A25BD4"/>
    <w:rsid w:val="79C655F6"/>
    <w:rsid w:val="79D036BA"/>
    <w:rsid w:val="79E5228B"/>
    <w:rsid w:val="79E915EB"/>
    <w:rsid w:val="79FB986A"/>
    <w:rsid w:val="7A3064CE"/>
    <w:rsid w:val="7A474981"/>
    <w:rsid w:val="7A480529"/>
    <w:rsid w:val="7A546ECE"/>
    <w:rsid w:val="7A666C01"/>
    <w:rsid w:val="7A735E15"/>
    <w:rsid w:val="7AD6540F"/>
    <w:rsid w:val="7B0A0587"/>
    <w:rsid w:val="7B474C14"/>
    <w:rsid w:val="7B7B68AC"/>
    <w:rsid w:val="7BEA45C9"/>
    <w:rsid w:val="7BEE2505"/>
    <w:rsid w:val="7BFABD6A"/>
    <w:rsid w:val="7BFC781D"/>
    <w:rsid w:val="7BFF804E"/>
    <w:rsid w:val="7C0E5874"/>
    <w:rsid w:val="7CC16371"/>
    <w:rsid w:val="7CD05940"/>
    <w:rsid w:val="7CFF9963"/>
    <w:rsid w:val="7DE40A57"/>
    <w:rsid w:val="7DE95B7F"/>
    <w:rsid w:val="7DF0035C"/>
    <w:rsid w:val="7DFE27A0"/>
    <w:rsid w:val="7E046E5D"/>
    <w:rsid w:val="7E3A5031"/>
    <w:rsid w:val="7E413C0D"/>
    <w:rsid w:val="7E815D24"/>
    <w:rsid w:val="7EBF30DE"/>
    <w:rsid w:val="7ECF2FC7"/>
    <w:rsid w:val="7ECFBA33"/>
    <w:rsid w:val="7F3528E3"/>
    <w:rsid w:val="7F47583B"/>
    <w:rsid w:val="7F4D0390"/>
    <w:rsid w:val="7F6BEC79"/>
    <w:rsid w:val="7F80048F"/>
    <w:rsid w:val="7FB1EE55"/>
    <w:rsid w:val="7FC10761"/>
    <w:rsid w:val="7FE89F73"/>
    <w:rsid w:val="7FFD32D0"/>
    <w:rsid w:val="9D6F08B8"/>
    <w:rsid w:val="9E36C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FDEFB"/>
  <w15:docId w15:val="{E515A35E-0C47-4FC0-9AA7-164BD3D1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31"/>
      <w:szCs w:val="31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Emphasis"/>
    <w:basedOn w:val="a0"/>
    <w:uiPriority w:val="20"/>
    <w:qFormat/>
    <w:rPr>
      <w:i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玲玉</dc:creator>
  <cp:lastModifiedBy>daveqiu</cp:lastModifiedBy>
  <cp:revision>43</cp:revision>
  <dcterms:created xsi:type="dcterms:W3CDTF">2025-05-28T10:03:00Z</dcterms:created>
  <dcterms:modified xsi:type="dcterms:W3CDTF">2025-05-28T12:34:00Z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8E1313E1690F4A7385E959DDB76614B8_13</vt:lpwstr>
  </property>
  <property fmtid="{D5CDD505-2E9C-101B-9397-08002B2CF9AE}" pid="4" name="commondata">
    <vt:lpwstr>eyJoZGlkIjoiOTRmMzg2Y2U0NjMzNzhiNDNlNjkwZjQ1ZjE5YTIzMTEifQ==</vt:lpwstr>
  </property>
  <property fmtid="{D5CDD505-2E9C-101B-9397-08002B2CF9AE}" pid="5" name="KSOTemplateDocerSaveRecord">
    <vt:lpwstr>eyJoZGlkIjoiOTRmMzg2Y2U0NjMzNzhiNDNlNjkwZjQ1ZjE5YTIzMTEiLCJ1c2VySWQiOiIyODk4ODY2NzkifQ==</vt:lpwstr>
  </property>
</Properties>
</file>