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20" w:rsidRPr="00D14192" w:rsidRDefault="00DC3520" w:rsidP="00DC3520">
      <w:pPr>
        <w:spacing w:line="360" w:lineRule="auto"/>
        <w:rPr>
          <w:rFonts w:ascii="仿宋_GB2312" w:eastAsia="仿宋_GB2312"/>
          <w:bCs/>
          <w:iCs/>
          <w:color w:val="000000"/>
          <w:sz w:val="28"/>
          <w:szCs w:val="28"/>
        </w:rPr>
      </w:pPr>
      <w:r w:rsidRPr="00D14192">
        <w:rPr>
          <w:rFonts w:ascii="仿宋_GB2312" w:eastAsia="仿宋_GB2312" w:hAnsi="宋体" w:hint="eastAsia"/>
          <w:bCs/>
          <w:iCs/>
          <w:color w:val="000000"/>
          <w:sz w:val="28"/>
          <w:szCs w:val="28"/>
        </w:rPr>
        <w:t xml:space="preserve">证券代码：600262     </w:t>
      </w:r>
      <w:r w:rsidRPr="00D14192">
        <w:rPr>
          <w:rFonts w:ascii="仿宋_GB2312" w:eastAsia="仿宋_GB2312" w:hint="eastAsia"/>
          <w:bCs/>
          <w:iCs/>
          <w:color w:val="000000"/>
          <w:sz w:val="28"/>
          <w:szCs w:val="28"/>
        </w:rPr>
        <w:t xml:space="preserve">                    </w:t>
      </w:r>
      <w:r w:rsidRPr="00D14192">
        <w:rPr>
          <w:rFonts w:ascii="仿宋_GB2312" w:eastAsia="仿宋_GB2312" w:hAnsi="宋体" w:hint="eastAsia"/>
          <w:bCs/>
          <w:iCs/>
          <w:color w:val="000000"/>
          <w:sz w:val="28"/>
          <w:szCs w:val="28"/>
        </w:rPr>
        <w:t>证券简称：北方股份</w:t>
      </w:r>
    </w:p>
    <w:p w:rsidR="00DC3520" w:rsidRPr="00DC3520" w:rsidRDefault="00DC3520" w:rsidP="008D7926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</w:p>
    <w:p w:rsidR="00325CBB" w:rsidRDefault="00325CBB" w:rsidP="008D7926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325CBB">
        <w:rPr>
          <w:rFonts w:ascii="方正小标宋简体" w:eastAsia="方正小标宋简体" w:hint="eastAsia"/>
          <w:sz w:val="36"/>
          <w:szCs w:val="36"/>
        </w:rPr>
        <w:t>内蒙古北方重型汽车股份有限公司</w:t>
      </w:r>
    </w:p>
    <w:p w:rsidR="008D7926" w:rsidRPr="003144F2" w:rsidRDefault="008D7926" w:rsidP="008D7926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3144F2">
        <w:rPr>
          <w:rFonts w:ascii="方正小标宋简体" w:eastAsia="方正小标宋简体" w:hint="eastAsia"/>
          <w:sz w:val="36"/>
          <w:szCs w:val="36"/>
        </w:rPr>
        <w:t>投资者关系活动记录表</w:t>
      </w:r>
    </w:p>
    <w:p w:rsidR="008D7926" w:rsidRPr="00B721BA" w:rsidRDefault="008D7926" w:rsidP="008D7926">
      <w:pPr>
        <w:rPr>
          <w:rFonts w:ascii="仿宋_GB2312" w:eastAsia="仿宋_GB2312"/>
          <w:sz w:val="28"/>
          <w:szCs w:val="28"/>
        </w:rPr>
      </w:pPr>
      <w:r w:rsidRPr="001C0C8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C802E7">
        <w:rPr>
          <w:rFonts w:ascii="仿宋_GB2312" w:eastAsia="仿宋_GB2312"/>
          <w:sz w:val="32"/>
          <w:szCs w:val="32"/>
        </w:rPr>
        <w:t xml:space="preserve">   </w:t>
      </w:r>
      <w:r w:rsidR="00A11C54">
        <w:rPr>
          <w:rFonts w:ascii="仿宋_GB2312" w:eastAsia="仿宋_GB2312"/>
          <w:sz w:val="32"/>
          <w:szCs w:val="32"/>
        </w:rPr>
        <w:t xml:space="preserve"> </w:t>
      </w:r>
      <w:r w:rsidR="0034305F">
        <w:rPr>
          <w:rFonts w:ascii="仿宋_GB2312" w:eastAsia="仿宋_GB2312"/>
          <w:sz w:val="32"/>
          <w:szCs w:val="32"/>
        </w:rPr>
        <w:t xml:space="preserve"> </w:t>
      </w:r>
      <w:r w:rsidRPr="00B721BA">
        <w:rPr>
          <w:rFonts w:ascii="仿宋_GB2312" w:eastAsia="仿宋_GB2312" w:hint="eastAsia"/>
          <w:sz w:val="28"/>
          <w:szCs w:val="28"/>
        </w:rPr>
        <w:t>编号：</w:t>
      </w:r>
      <w:r w:rsidR="00C802E7">
        <w:rPr>
          <w:rFonts w:ascii="仿宋_GB2312" w:eastAsia="仿宋_GB2312" w:hint="eastAsia"/>
          <w:sz w:val="28"/>
          <w:szCs w:val="28"/>
        </w:rPr>
        <w:t>2</w:t>
      </w:r>
      <w:r w:rsidR="00C802E7">
        <w:rPr>
          <w:rFonts w:ascii="仿宋_GB2312" w:eastAsia="仿宋_GB2312"/>
          <w:sz w:val="28"/>
          <w:szCs w:val="28"/>
        </w:rPr>
        <w:t>02</w:t>
      </w:r>
      <w:r w:rsidR="00B63F2F">
        <w:rPr>
          <w:rFonts w:ascii="仿宋_GB2312" w:eastAsia="仿宋_GB2312"/>
          <w:sz w:val="28"/>
          <w:szCs w:val="28"/>
        </w:rPr>
        <w:t>5</w:t>
      </w:r>
      <w:r w:rsidR="00C802E7">
        <w:rPr>
          <w:rFonts w:ascii="仿宋_GB2312" w:eastAsia="仿宋_GB2312"/>
          <w:sz w:val="28"/>
          <w:szCs w:val="28"/>
        </w:rPr>
        <w:t>-00</w:t>
      </w:r>
      <w:r w:rsidR="00E217D3">
        <w:rPr>
          <w:rFonts w:ascii="仿宋_GB2312" w:eastAsia="仿宋_GB2312"/>
          <w:sz w:val="28"/>
          <w:szCs w:val="28"/>
        </w:rPr>
        <w:t>3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668"/>
        <w:gridCol w:w="175"/>
        <w:gridCol w:w="1134"/>
        <w:gridCol w:w="6804"/>
      </w:tblGrid>
      <w:tr w:rsidR="008D7926" w:rsidTr="0034305F">
        <w:tc>
          <w:tcPr>
            <w:tcW w:w="1668" w:type="dxa"/>
            <w:vAlign w:val="center"/>
          </w:tcPr>
          <w:p w:rsidR="008D7926" w:rsidRDefault="008D7926" w:rsidP="008B6A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接待方式</w:t>
            </w:r>
          </w:p>
        </w:tc>
        <w:tc>
          <w:tcPr>
            <w:tcW w:w="8113" w:type="dxa"/>
            <w:gridSpan w:val="3"/>
          </w:tcPr>
          <w:p w:rsidR="008D7926" w:rsidRPr="003144F2" w:rsidRDefault="00C802E7" w:rsidP="008B6AA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√</w:t>
            </w:r>
            <w:r w:rsidR="008D7926" w:rsidRPr="003144F2">
              <w:rPr>
                <w:rFonts w:ascii="仿宋_GB2312" w:eastAsia="仿宋_GB2312" w:hint="eastAsia"/>
                <w:sz w:val="32"/>
                <w:szCs w:val="32"/>
              </w:rPr>
              <w:t xml:space="preserve">特定对象调研 </w:t>
            </w:r>
            <w:r w:rsidR="008D7926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8D7926" w:rsidRPr="003144F2">
              <w:rPr>
                <w:rFonts w:ascii="仿宋_GB2312" w:eastAsia="仿宋_GB2312" w:hint="eastAsia"/>
                <w:sz w:val="32"/>
                <w:szCs w:val="32"/>
              </w:rPr>
              <w:t xml:space="preserve">□分析师会议 </w:t>
            </w:r>
            <w:r w:rsidR="008D792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8D7926" w:rsidRPr="003144F2">
              <w:rPr>
                <w:rFonts w:ascii="仿宋_GB2312" w:eastAsia="仿宋_GB2312" w:hint="eastAsia"/>
                <w:sz w:val="32"/>
                <w:szCs w:val="32"/>
              </w:rPr>
              <w:t>□媒体采访</w:t>
            </w:r>
          </w:p>
          <w:p w:rsidR="008D7926" w:rsidRPr="003144F2" w:rsidRDefault="008D7926" w:rsidP="008B6AA6">
            <w:pPr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□业绩说明会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3144F2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144F2">
              <w:rPr>
                <w:rFonts w:ascii="仿宋_GB2312" w:eastAsia="仿宋_GB2312" w:hint="eastAsia"/>
                <w:sz w:val="32"/>
                <w:szCs w:val="32"/>
              </w:rPr>
              <w:t>□新闻发布会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3144F2">
              <w:rPr>
                <w:rFonts w:ascii="仿宋_GB2312" w:eastAsia="仿宋_GB2312" w:hint="eastAsia"/>
                <w:sz w:val="32"/>
                <w:szCs w:val="32"/>
              </w:rPr>
              <w:t>□路演活动</w:t>
            </w:r>
          </w:p>
          <w:p w:rsidR="008D7926" w:rsidRDefault="008D7926" w:rsidP="008B6AA6">
            <w:pPr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 xml:space="preserve">□现场参观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="005D1780">
              <w:rPr>
                <w:rFonts w:ascii="仿宋_GB2312" w:eastAsia="仿宋_GB2312" w:hint="eastAsia"/>
                <w:sz w:val="32"/>
                <w:szCs w:val="32"/>
              </w:rPr>
              <w:t>√</w:t>
            </w:r>
            <w:r w:rsidRPr="003144F2">
              <w:rPr>
                <w:rFonts w:ascii="仿宋_GB2312" w:eastAsia="仿宋_GB2312" w:hint="eastAsia"/>
                <w:sz w:val="32"/>
                <w:szCs w:val="32"/>
              </w:rPr>
              <w:t>其它</w:t>
            </w:r>
          </w:p>
        </w:tc>
      </w:tr>
      <w:tr w:rsidR="008D7926" w:rsidTr="00E97C4F">
        <w:tc>
          <w:tcPr>
            <w:tcW w:w="2977" w:type="dxa"/>
            <w:gridSpan w:val="3"/>
            <w:vAlign w:val="center"/>
          </w:tcPr>
          <w:p w:rsidR="008D7926" w:rsidRDefault="008D7926" w:rsidP="008B6A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6804" w:type="dxa"/>
          </w:tcPr>
          <w:p w:rsidR="008D7926" w:rsidRDefault="00C802E7" w:rsidP="00E217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</w:t>
            </w:r>
            <w:r w:rsidR="00B63F2F"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E217D3"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E217D3">
              <w:rPr>
                <w:rFonts w:ascii="仿宋_GB2312" w:eastAsia="仿宋_GB2312"/>
                <w:sz w:val="32"/>
                <w:szCs w:val="32"/>
              </w:rPr>
              <w:t>28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="00B63F2F">
              <w:rPr>
                <w:rFonts w:ascii="仿宋_GB2312" w:eastAsia="仿宋_GB2312" w:hint="eastAsia"/>
                <w:sz w:val="32"/>
                <w:szCs w:val="32"/>
              </w:rPr>
              <w:t>下午</w:t>
            </w:r>
            <w:r w:rsidR="00B63F2F">
              <w:rPr>
                <w:rFonts w:ascii="仿宋_GB2312" w:eastAsia="仿宋_GB2312"/>
                <w:sz w:val="32"/>
                <w:szCs w:val="32"/>
              </w:rPr>
              <w:t>1</w:t>
            </w:r>
            <w:r w:rsidR="00E217D3">
              <w:rPr>
                <w:rFonts w:ascii="仿宋_GB2312" w:eastAsia="仿宋_GB2312"/>
                <w:sz w:val="32"/>
                <w:szCs w:val="32"/>
              </w:rPr>
              <w:t>6</w:t>
            </w:r>
            <w:r w:rsidRPr="000E6C34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E217D3">
              <w:rPr>
                <w:rFonts w:ascii="仿宋_GB2312" w:eastAsia="仿宋_GB2312"/>
                <w:sz w:val="32"/>
                <w:szCs w:val="32"/>
              </w:rPr>
              <w:t>0</w:t>
            </w:r>
            <w:r w:rsidRPr="000E6C34">
              <w:rPr>
                <w:rFonts w:ascii="仿宋_GB2312" w:eastAsia="仿宋_GB2312"/>
                <w:sz w:val="32"/>
                <w:szCs w:val="32"/>
              </w:rPr>
              <w:t>0-1</w:t>
            </w:r>
            <w:r w:rsidR="00E217D3">
              <w:rPr>
                <w:rFonts w:ascii="仿宋_GB2312" w:eastAsia="仿宋_GB2312"/>
                <w:sz w:val="32"/>
                <w:szCs w:val="32"/>
              </w:rPr>
              <w:t>7</w:t>
            </w:r>
            <w:r w:rsidRPr="000E6C34">
              <w:rPr>
                <w:rFonts w:ascii="仿宋_GB2312" w:eastAsia="仿宋_GB2312"/>
                <w:sz w:val="32"/>
                <w:szCs w:val="32"/>
              </w:rPr>
              <w:t>:</w:t>
            </w:r>
            <w:r w:rsidR="00E217D3">
              <w:rPr>
                <w:rFonts w:ascii="仿宋_GB2312" w:eastAsia="仿宋_GB2312"/>
                <w:sz w:val="32"/>
                <w:szCs w:val="32"/>
              </w:rPr>
              <w:t>0</w:t>
            </w:r>
            <w:r w:rsidR="000E6C34"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8D7926" w:rsidTr="00E97C4F">
        <w:tc>
          <w:tcPr>
            <w:tcW w:w="2977" w:type="dxa"/>
            <w:gridSpan w:val="3"/>
            <w:vAlign w:val="center"/>
          </w:tcPr>
          <w:p w:rsidR="008D7926" w:rsidRDefault="008D7926" w:rsidP="008B6A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  <w:tc>
          <w:tcPr>
            <w:tcW w:w="6804" w:type="dxa"/>
          </w:tcPr>
          <w:p w:rsidR="008D7926" w:rsidRDefault="0077313C" w:rsidP="001270F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公司会议室、线上</w:t>
            </w:r>
          </w:p>
        </w:tc>
      </w:tr>
      <w:tr w:rsidR="008D7926" w:rsidTr="00E97C4F">
        <w:trPr>
          <w:trHeight w:val="660"/>
        </w:trPr>
        <w:tc>
          <w:tcPr>
            <w:tcW w:w="2977" w:type="dxa"/>
            <w:gridSpan w:val="3"/>
            <w:vAlign w:val="center"/>
          </w:tcPr>
          <w:p w:rsidR="008D7926" w:rsidRDefault="008D7926" w:rsidP="007731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接待单位</w:t>
            </w:r>
          </w:p>
        </w:tc>
        <w:tc>
          <w:tcPr>
            <w:tcW w:w="6804" w:type="dxa"/>
          </w:tcPr>
          <w:p w:rsidR="008D7926" w:rsidRDefault="00E217D3" w:rsidP="0077313C">
            <w:pPr>
              <w:rPr>
                <w:rFonts w:ascii="仿宋_GB2312" w:eastAsia="仿宋_GB2312"/>
                <w:sz w:val="32"/>
                <w:szCs w:val="32"/>
              </w:rPr>
            </w:pPr>
            <w:r w:rsidRPr="00E217D3">
              <w:rPr>
                <w:rFonts w:ascii="仿宋_GB2312" w:eastAsia="仿宋_GB2312" w:hint="eastAsia"/>
                <w:sz w:val="32"/>
                <w:szCs w:val="32"/>
              </w:rPr>
              <w:t>新华基金</w:t>
            </w:r>
            <w:r w:rsidR="004A311D" w:rsidRPr="004A311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E217D3">
              <w:rPr>
                <w:rFonts w:ascii="仿宋_GB2312" w:eastAsia="仿宋_GB2312" w:hint="eastAsia"/>
                <w:sz w:val="32"/>
                <w:szCs w:val="32"/>
              </w:rPr>
              <w:t>华商基金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E217D3">
              <w:rPr>
                <w:rFonts w:ascii="仿宋_GB2312" w:eastAsia="仿宋_GB2312" w:hint="eastAsia"/>
                <w:sz w:val="32"/>
                <w:szCs w:val="32"/>
              </w:rPr>
              <w:t>万家基金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4A311D" w:rsidRPr="004A311D">
              <w:rPr>
                <w:rFonts w:ascii="仿宋_GB2312" w:eastAsia="仿宋_GB2312" w:hint="eastAsia"/>
                <w:sz w:val="32"/>
                <w:szCs w:val="32"/>
              </w:rPr>
              <w:t xml:space="preserve">浙商证券 </w:t>
            </w:r>
          </w:p>
        </w:tc>
      </w:tr>
      <w:tr w:rsidR="008D7926" w:rsidTr="00E97C4F">
        <w:tc>
          <w:tcPr>
            <w:tcW w:w="2977" w:type="dxa"/>
            <w:gridSpan w:val="3"/>
            <w:vAlign w:val="center"/>
          </w:tcPr>
          <w:p w:rsidR="008D7926" w:rsidRDefault="008D7926" w:rsidP="008B6A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公司接待人员</w:t>
            </w:r>
          </w:p>
        </w:tc>
        <w:tc>
          <w:tcPr>
            <w:tcW w:w="6804" w:type="dxa"/>
          </w:tcPr>
          <w:p w:rsidR="008D7926" w:rsidRDefault="00C802E7" w:rsidP="00F547D2">
            <w:pPr>
              <w:rPr>
                <w:rFonts w:ascii="仿宋_GB2312" w:eastAsia="仿宋_GB2312"/>
                <w:sz w:val="32"/>
                <w:szCs w:val="32"/>
              </w:rPr>
            </w:pPr>
            <w:r w:rsidRPr="00C802E7">
              <w:rPr>
                <w:rFonts w:ascii="仿宋_GB2312" w:eastAsia="仿宋_GB2312" w:hint="eastAsia"/>
                <w:sz w:val="32"/>
                <w:szCs w:val="32"/>
              </w:rPr>
              <w:t>董事会秘书赵志远、</w:t>
            </w:r>
            <w:r w:rsidR="00F547D2">
              <w:rPr>
                <w:rFonts w:ascii="仿宋_GB2312" w:eastAsia="仿宋_GB2312" w:hint="eastAsia"/>
                <w:sz w:val="32"/>
                <w:szCs w:val="32"/>
              </w:rPr>
              <w:t>中国兵器首席科学家李来平、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证券</w:t>
            </w:r>
            <w:r w:rsidR="00F547D2">
              <w:rPr>
                <w:rFonts w:ascii="仿宋_GB2312" w:eastAsia="仿宋_GB2312" w:hint="eastAsia"/>
                <w:sz w:val="32"/>
                <w:szCs w:val="32"/>
              </w:rPr>
              <w:t>部经理</w:t>
            </w:r>
            <w:r>
              <w:rPr>
                <w:rFonts w:ascii="仿宋_GB2312" w:eastAsia="仿宋_GB2312" w:hint="eastAsia"/>
                <w:sz w:val="32"/>
                <w:szCs w:val="32"/>
              </w:rPr>
              <w:t>田凤玲</w:t>
            </w:r>
          </w:p>
        </w:tc>
      </w:tr>
      <w:tr w:rsidR="008D7926" w:rsidTr="00B90C38">
        <w:tc>
          <w:tcPr>
            <w:tcW w:w="1843" w:type="dxa"/>
            <w:gridSpan w:val="2"/>
            <w:vAlign w:val="center"/>
          </w:tcPr>
          <w:p w:rsidR="008D7926" w:rsidRDefault="008D7926" w:rsidP="008B6A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投资者关系</w:t>
            </w:r>
          </w:p>
          <w:p w:rsidR="008D7926" w:rsidRDefault="008D7926" w:rsidP="00C733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活动内容</w:t>
            </w:r>
          </w:p>
        </w:tc>
        <w:tc>
          <w:tcPr>
            <w:tcW w:w="7938" w:type="dxa"/>
            <w:gridSpan w:val="2"/>
          </w:tcPr>
          <w:p w:rsidR="00325CBB" w:rsidRDefault="00E03011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E03011">
              <w:rPr>
                <w:rFonts w:ascii="仿宋_GB2312" w:eastAsia="仿宋_GB2312" w:hint="eastAsia"/>
                <w:sz w:val="32"/>
                <w:szCs w:val="32"/>
              </w:rPr>
              <w:t>本次</w:t>
            </w:r>
            <w:r>
              <w:rPr>
                <w:rFonts w:ascii="仿宋_GB2312" w:eastAsia="仿宋_GB2312" w:hint="eastAsia"/>
                <w:sz w:val="32"/>
                <w:szCs w:val="32"/>
              </w:rPr>
              <w:t>接待</w:t>
            </w:r>
            <w:r w:rsidRPr="00E03011">
              <w:rPr>
                <w:rFonts w:ascii="仿宋_GB2312" w:eastAsia="仿宋_GB2312" w:hint="eastAsia"/>
                <w:sz w:val="32"/>
                <w:szCs w:val="32"/>
              </w:rPr>
              <w:t>主要问题及回答如下：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1.公司的主要产品及市场情况</w:t>
            </w:r>
            <w:r>
              <w:rPr>
                <w:rFonts w:ascii="仿宋_GB2312" w:eastAsia="仿宋_GB2312" w:hint="eastAsia"/>
                <w:sz w:val="32"/>
                <w:szCs w:val="32"/>
              </w:rPr>
              <w:t>是怎样的？</w:t>
            </w:r>
          </w:p>
          <w:p w:rsidR="00AC3800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公司主要业务为矿用车的研发、生产、销售和服务，同时提供矿用车备件、维修承包及劳务服务等。公司可生产载重25—400吨全系列矿用车（含机械传动矿用车、电动轮矿用车、矿用洒水车、双动力矿用车、纯电动矿用车、氢能源矿用车等），建有遍布全国、辐射全球的营销服务网络，系列化产品广泛应用于冶金、煤炭、有色、化工、建材、水电、交通基建七大矿业领域，遍布于国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lastRenderedPageBreak/>
              <w:t>内外数百个大型露天矿山，是国内矿用车行业的领航者。国际市场已拓展至蒙古、非洲等67个国家和地区，已成为极具竞争力的民族品牌，在同行业领域世界排名居于前列。特别是2020年实现澳洲市场和欧洲市场的重大突破，首次进入国际公认的高端市场。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.公司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海外销售能否保持高速增长？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答：作为国内矿用车行业的领航企业，从“十三五”以来，公司积极布局开拓国际市场，努力缩短与国际龙头企业的差距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近年来</w:t>
            </w:r>
            <w:r>
              <w:rPr>
                <w:rFonts w:ascii="仿宋_GB2312" w:eastAsia="仿宋_GB2312" w:hint="eastAsia"/>
                <w:sz w:val="32"/>
                <w:szCs w:val="32"/>
              </w:rPr>
              <w:t>公司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海外市场持续发力，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通过直销、代理销售，并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借助中资企业“走出去”</w:t>
            </w:r>
            <w:r>
              <w:rPr>
                <w:rFonts w:ascii="仿宋_GB2312" w:eastAsia="仿宋_GB2312" w:hint="eastAsia"/>
                <w:sz w:val="32"/>
                <w:szCs w:val="32"/>
              </w:rPr>
              <w:t>政策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海外市场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保持较快增长速度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公司力争进一步提升海外市场占有率，为公司高质量发展提供有力支撑。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</w:rPr>
              <w:t>公司与</w:t>
            </w:r>
            <w:r w:rsidRPr="004471AA">
              <w:rPr>
                <w:rFonts w:ascii="仿宋_GB2312" w:eastAsia="仿宋_GB2312" w:hint="eastAsia"/>
                <w:sz w:val="32"/>
                <w:szCs w:val="32"/>
              </w:rPr>
              <w:t>卡特彼勒等国际巨头</w:t>
            </w:r>
            <w:r>
              <w:rPr>
                <w:rFonts w:ascii="仿宋_GB2312" w:eastAsia="仿宋_GB2312" w:hint="eastAsia"/>
                <w:sz w:val="32"/>
                <w:szCs w:val="32"/>
              </w:rPr>
              <w:t>相比有无</w:t>
            </w:r>
            <w:r w:rsidRPr="004471AA">
              <w:rPr>
                <w:rFonts w:ascii="仿宋_GB2312" w:eastAsia="仿宋_GB2312" w:hint="eastAsia"/>
                <w:sz w:val="32"/>
                <w:szCs w:val="32"/>
              </w:rPr>
              <w:t>竞争优势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？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答：作为国务院国资委“对标世界一流专业领军示范企业”，公司积极对标世界一流矿车企业，近年来与世界一流矿车企业</w:t>
            </w:r>
            <w:r w:rsidRPr="004471AA">
              <w:rPr>
                <w:rFonts w:ascii="仿宋_GB2312" w:eastAsia="仿宋_GB2312" w:hint="eastAsia"/>
                <w:sz w:val="32"/>
                <w:szCs w:val="32"/>
              </w:rPr>
              <w:t>卡特彼勒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及小松相比，公司产品性能差距逐步缩小，品质服务差距日趋缩小。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.公司海外采购占比情况如何？</w:t>
            </w:r>
          </w:p>
          <w:p w:rsidR="00AC3800" w:rsidRPr="007E7C9E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答：目前矿用车产品部分零部件以国外采购为主。近年来，公司不断强化科技自立自强，持续通过关键核心技术攻关，解决“卡脖子”问题，加大国产化研发替代初见成效，零部件国产化率不断提高。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.公司营业收入有无季节性特征</w:t>
            </w:r>
            <w:r>
              <w:rPr>
                <w:rFonts w:ascii="仿宋_GB2312" w:eastAsia="仿宋_GB2312" w:hint="eastAsia"/>
                <w:sz w:val="32"/>
                <w:szCs w:val="32"/>
              </w:rPr>
              <w:t>？</w:t>
            </w:r>
          </w:p>
          <w:p w:rsidR="00AC3800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答：公司核心产品为非公路矿用车，属于矿山设备。矿用车具有“大产品、小市场”的行业特点，单位产品价值高、市场规模相对有限、应用领域相对集中、客户群体相对固定。结合公司经营情况，公司矿</w:t>
            </w:r>
            <w:r w:rsidR="003F690D">
              <w:rPr>
                <w:rFonts w:ascii="仿宋_GB2312" w:eastAsia="仿宋_GB2312" w:hint="eastAsia"/>
                <w:sz w:val="32"/>
                <w:szCs w:val="32"/>
              </w:rPr>
              <w:t>用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车业务承揽受宏观经济、产业政策及矿产资源价格波动等因素影响较大</w:t>
            </w:r>
            <w:r w:rsidR="00190C08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bookmarkStart w:id="0" w:name="_GoBack"/>
            <w:bookmarkEnd w:id="0"/>
            <w:r w:rsidRPr="00605149">
              <w:rPr>
                <w:rFonts w:ascii="仿宋_GB2312" w:eastAsia="仿宋_GB2312" w:hint="eastAsia"/>
                <w:sz w:val="32"/>
                <w:szCs w:val="32"/>
              </w:rPr>
              <w:t>销售合同的签订时间与供货时间及验收时间，均是决定收入实现的关键因素。所以公司营业收入无明显的季节性特征。</w:t>
            </w:r>
          </w:p>
          <w:p w:rsidR="00AC3800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6.</w:t>
            </w:r>
            <w:r>
              <w:rPr>
                <w:rFonts w:ascii="仿宋_GB2312" w:eastAsia="仿宋_GB2312" w:hint="eastAsia"/>
                <w:sz w:val="32"/>
                <w:szCs w:val="32"/>
              </w:rPr>
              <w:t>公司2</w:t>
            </w:r>
            <w:r>
              <w:rPr>
                <w:rFonts w:ascii="仿宋_GB2312" w:eastAsia="仿宋_GB2312"/>
                <w:sz w:val="32"/>
                <w:szCs w:val="32"/>
              </w:rPr>
              <w:t>024年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第三季度发生的销售费用为负数，是什么原因造成的？</w:t>
            </w:r>
          </w:p>
          <w:p w:rsidR="00AC3800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答：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由于</w:t>
            </w:r>
            <w:r w:rsidRPr="002E1E30">
              <w:rPr>
                <w:rFonts w:ascii="仿宋_GB2312" w:eastAsia="仿宋_GB2312" w:hint="eastAsia"/>
                <w:sz w:val="32"/>
                <w:szCs w:val="32"/>
              </w:rPr>
              <w:t>会计政策</w:t>
            </w:r>
            <w:r>
              <w:rPr>
                <w:rFonts w:ascii="仿宋_GB2312" w:eastAsia="仿宋_GB2312" w:hint="eastAsia"/>
                <w:sz w:val="32"/>
                <w:szCs w:val="32"/>
              </w:rPr>
              <w:t>发生</w:t>
            </w:r>
            <w:r w:rsidRPr="002E1E30">
              <w:rPr>
                <w:rFonts w:ascii="仿宋_GB2312" w:eastAsia="仿宋_GB2312" w:hint="eastAsia"/>
                <w:sz w:val="32"/>
                <w:szCs w:val="32"/>
              </w:rPr>
              <w:t>变更，</w:t>
            </w:r>
            <w:r w:rsidRPr="00140E91">
              <w:rPr>
                <w:rFonts w:ascii="仿宋_GB2312" w:eastAsia="仿宋_GB2312" w:hint="eastAsia"/>
                <w:sz w:val="32"/>
                <w:szCs w:val="32"/>
              </w:rPr>
              <w:t>公司执行财政部发布的《企业会计准则应用指南汇编2024》第十四章《或有事项》的规定，</w:t>
            </w:r>
            <w:r w:rsidRPr="002E1E30">
              <w:rPr>
                <w:rFonts w:ascii="仿宋_GB2312" w:eastAsia="仿宋_GB2312" w:hint="eastAsia"/>
                <w:sz w:val="32"/>
                <w:szCs w:val="32"/>
              </w:rPr>
              <w:t>将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024年</w:t>
            </w:r>
            <w:r w:rsidRPr="002E1E30">
              <w:rPr>
                <w:rFonts w:ascii="仿宋_GB2312" w:eastAsia="仿宋_GB2312" w:hint="eastAsia"/>
                <w:sz w:val="32"/>
                <w:szCs w:val="32"/>
              </w:rPr>
              <w:t>上半年计入销售费用的预提保修费，调整到主营业务成本</w:t>
            </w:r>
            <w:r>
              <w:rPr>
                <w:rFonts w:ascii="仿宋_GB2312" w:eastAsia="仿宋_GB2312" w:hint="eastAsia"/>
                <w:sz w:val="32"/>
                <w:szCs w:val="32"/>
              </w:rPr>
              <w:t>列示导致的。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.2025年一季度公司合同负债金额较大，是什么原因造成的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？</w:t>
            </w:r>
          </w:p>
          <w:p w:rsidR="00AC3800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答：公司按照合同约定要求准备生产供货。每笔订单的交付时间与矿用车产品</w:t>
            </w:r>
            <w:r>
              <w:rPr>
                <w:rFonts w:ascii="仿宋_GB2312" w:eastAsia="仿宋_GB2312" w:hint="eastAsia"/>
                <w:sz w:val="32"/>
                <w:szCs w:val="32"/>
              </w:rPr>
              <w:t>型号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大小及配套件有关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总体上从零部件准备到完成总装试验等，短的有几个月的，长的有跨年度的。2025年一季度公司合同负债</w:t>
            </w:r>
            <w:r>
              <w:rPr>
                <w:rFonts w:ascii="仿宋_GB2312" w:eastAsia="仿宋_GB2312" w:hint="eastAsia"/>
                <w:sz w:val="32"/>
                <w:szCs w:val="32"/>
              </w:rPr>
              <w:t>是按照</w:t>
            </w:r>
            <w:r w:rsidRPr="008979BA">
              <w:rPr>
                <w:rFonts w:ascii="仿宋_GB2312" w:eastAsia="仿宋_GB2312" w:hint="eastAsia"/>
                <w:sz w:val="32"/>
                <w:szCs w:val="32"/>
              </w:rPr>
              <w:t>销售合同约定收到的预收货款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为多笔订单合计形成的。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</w:rPr>
              <w:t>公司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2025年收入预期</w:t>
            </w:r>
            <w:r>
              <w:rPr>
                <w:rFonts w:ascii="仿宋_GB2312" w:eastAsia="仿宋_GB2312" w:hint="eastAsia"/>
                <w:sz w:val="32"/>
                <w:szCs w:val="32"/>
              </w:rPr>
              <w:t>如何</w:t>
            </w:r>
            <w:r w:rsidR="005A4F5D">
              <w:rPr>
                <w:rFonts w:ascii="仿宋_GB2312" w:eastAsia="仿宋_GB2312" w:hint="eastAsia"/>
                <w:sz w:val="32"/>
                <w:szCs w:val="32"/>
              </w:rPr>
              <w:t>？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公司2024年计划实现合并营业收入不低于26亿元。报告期内，整体市场情况较好，公司实现合并营业收入29.18亿元，同比增长21.43%。2025年，公司力争实现合并营业收入不低于30亿元，目前市场存在很多不确定性，特别是在当前贸易形势背景下，实现该预期目标有很大的挑战性，存在一定的不确定性。</w:t>
            </w:r>
          </w:p>
          <w:p w:rsidR="00AC3800" w:rsidRPr="00605149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9.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公司控股子公司主营业务是什么？</w:t>
            </w:r>
          </w:p>
          <w:p w:rsidR="008D7926" w:rsidRPr="00AC3800" w:rsidRDefault="00AC3800" w:rsidP="00BC2416">
            <w:pPr>
              <w:rPr>
                <w:rFonts w:ascii="仿宋_GB2312" w:eastAsia="仿宋_GB2312"/>
                <w:sz w:val="32"/>
                <w:szCs w:val="32"/>
              </w:rPr>
            </w:pPr>
            <w:r w:rsidRPr="00605149">
              <w:rPr>
                <w:rFonts w:ascii="仿宋_GB2312" w:eastAsia="仿宋_GB2312" w:hint="eastAsia"/>
                <w:sz w:val="32"/>
                <w:szCs w:val="32"/>
              </w:rPr>
              <w:t>答：公司现有1家控股子公司-内蒙古北方智行采矿机械有限公司（北方采矿）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北方采矿注册资本5000万元，成立于2006年3月份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，北方股份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持股50.1%，上海宝力智行技术有限公司</w:t>
            </w:r>
            <w:r>
              <w:rPr>
                <w:rFonts w:ascii="仿宋_GB2312" w:eastAsia="仿宋_GB2312" w:hint="eastAsia"/>
                <w:sz w:val="32"/>
                <w:szCs w:val="32"/>
              </w:rPr>
              <w:t>持股4</w:t>
            </w:r>
            <w:r>
              <w:rPr>
                <w:rFonts w:ascii="仿宋_GB2312" w:eastAsia="仿宋_GB2312"/>
                <w:sz w:val="32"/>
                <w:szCs w:val="32"/>
              </w:rPr>
              <w:t>9.9%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。目前</w:t>
            </w:r>
            <w:r>
              <w:rPr>
                <w:rFonts w:ascii="仿宋_GB2312" w:eastAsia="仿宋_GB2312" w:hint="eastAsia"/>
                <w:sz w:val="32"/>
                <w:szCs w:val="32"/>
              </w:rPr>
              <w:t>北方采矿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主要业务</w:t>
            </w: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北方股份</w:t>
            </w:r>
            <w:r w:rsidRPr="00605149">
              <w:rPr>
                <w:rFonts w:ascii="仿宋_GB2312" w:eastAsia="仿宋_GB2312" w:hint="eastAsia"/>
                <w:sz w:val="32"/>
                <w:szCs w:val="32"/>
              </w:rPr>
              <w:t>电动轮矿用车提供备件及售后维修服务等。</w:t>
            </w:r>
          </w:p>
        </w:tc>
      </w:tr>
      <w:tr w:rsidR="008D7926" w:rsidTr="00E97C4F">
        <w:tc>
          <w:tcPr>
            <w:tcW w:w="2977" w:type="dxa"/>
            <w:gridSpan w:val="3"/>
            <w:vAlign w:val="center"/>
          </w:tcPr>
          <w:p w:rsidR="008D7926" w:rsidRDefault="008D7926" w:rsidP="003430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附件清单（如有）</w:t>
            </w:r>
          </w:p>
        </w:tc>
        <w:tc>
          <w:tcPr>
            <w:tcW w:w="6804" w:type="dxa"/>
          </w:tcPr>
          <w:p w:rsidR="008D7926" w:rsidRDefault="00E03011" w:rsidP="008B6AA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无</w:t>
            </w:r>
          </w:p>
        </w:tc>
      </w:tr>
      <w:tr w:rsidR="008D7926" w:rsidTr="0034305F">
        <w:tc>
          <w:tcPr>
            <w:tcW w:w="9781" w:type="dxa"/>
            <w:gridSpan w:val="4"/>
          </w:tcPr>
          <w:p w:rsidR="008D7926" w:rsidRDefault="008D7926" w:rsidP="008B6AA6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3144F2">
              <w:rPr>
                <w:rFonts w:ascii="仿宋_GB2312" w:eastAsia="仿宋_GB2312" w:hint="eastAsia"/>
                <w:sz w:val="32"/>
                <w:szCs w:val="32"/>
              </w:rPr>
              <w:t>记 录：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</w:t>
            </w:r>
            <w:r w:rsidR="00D02CA0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3144F2">
              <w:rPr>
                <w:rFonts w:ascii="仿宋_GB2312" w:eastAsia="仿宋_GB2312" w:hint="eastAsia"/>
                <w:sz w:val="32"/>
                <w:szCs w:val="32"/>
              </w:rPr>
              <w:t>审核：</w:t>
            </w:r>
          </w:p>
        </w:tc>
      </w:tr>
    </w:tbl>
    <w:p w:rsidR="008D7926" w:rsidRPr="001C0C88" w:rsidRDefault="008D7926" w:rsidP="008D7926">
      <w:pPr>
        <w:ind w:firstLineChars="444" w:firstLine="1421"/>
        <w:rPr>
          <w:rFonts w:ascii="仿宋_GB2312" w:eastAsia="仿宋_GB2312"/>
          <w:sz w:val="32"/>
          <w:szCs w:val="32"/>
        </w:rPr>
      </w:pPr>
    </w:p>
    <w:p w:rsidR="000D5046" w:rsidRDefault="000D5046"/>
    <w:sectPr w:rsidR="000D5046" w:rsidSect="00286BAB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64" w:rsidRDefault="00926664">
      <w:r>
        <w:separator/>
      </w:r>
    </w:p>
  </w:endnote>
  <w:endnote w:type="continuationSeparator" w:id="0">
    <w:p w:rsidR="00926664" w:rsidRDefault="0092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732256"/>
      <w:docPartObj>
        <w:docPartGallery w:val="Page Numbers (Bottom of Page)"/>
        <w:docPartUnique/>
      </w:docPartObj>
    </w:sdtPr>
    <w:sdtEndPr/>
    <w:sdtContent>
      <w:p w:rsidR="00286BAB" w:rsidRDefault="003430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64" w:rsidRPr="00926664">
          <w:rPr>
            <w:noProof/>
            <w:lang w:val="zh-CN"/>
          </w:rPr>
          <w:t>1</w:t>
        </w:r>
        <w:r>
          <w:fldChar w:fldCharType="end"/>
        </w:r>
      </w:p>
    </w:sdtContent>
  </w:sdt>
  <w:p w:rsidR="00286BAB" w:rsidRDefault="009266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64" w:rsidRDefault="00926664">
      <w:r>
        <w:separator/>
      </w:r>
    </w:p>
  </w:footnote>
  <w:footnote w:type="continuationSeparator" w:id="0">
    <w:p w:rsidR="00926664" w:rsidRDefault="0092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26"/>
    <w:rsid w:val="000002BD"/>
    <w:rsid w:val="0000165E"/>
    <w:rsid w:val="00015643"/>
    <w:rsid w:val="00024BF4"/>
    <w:rsid w:val="00027CB1"/>
    <w:rsid w:val="00042263"/>
    <w:rsid w:val="000433B9"/>
    <w:rsid w:val="0004762B"/>
    <w:rsid w:val="000507F0"/>
    <w:rsid w:val="00056A02"/>
    <w:rsid w:val="00061AB3"/>
    <w:rsid w:val="00066E41"/>
    <w:rsid w:val="000774E7"/>
    <w:rsid w:val="00081250"/>
    <w:rsid w:val="0008240F"/>
    <w:rsid w:val="000860BE"/>
    <w:rsid w:val="0008774F"/>
    <w:rsid w:val="00092F9B"/>
    <w:rsid w:val="0009352D"/>
    <w:rsid w:val="000A34F2"/>
    <w:rsid w:val="000A4930"/>
    <w:rsid w:val="000A7D78"/>
    <w:rsid w:val="000B1B64"/>
    <w:rsid w:val="000B2A0C"/>
    <w:rsid w:val="000B7288"/>
    <w:rsid w:val="000B77F8"/>
    <w:rsid w:val="000C3105"/>
    <w:rsid w:val="000C3F22"/>
    <w:rsid w:val="000C7CB4"/>
    <w:rsid w:val="000D5046"/>
    <w:rsid w:val="000E5AA8"/>
    <w:rsid w:val="000E6C34"/>
    <w:rsid w:val="000E70D6"/>
    <w:rsid w:val="000F2997"/>
    <w:rsid w:val="000F4D13"/>
    <w:rsid w:val="000F59A9"/>
    <w:rsid w:val="00100048"/>
    <w:rsid w:val="001025EE"/>
    <w:rsid w:val="0010760F"/>
    <w:rsid w:val="00113BC4"/>
    <w:rsid w:val="0011492A"/>
    <w:rsid w:val="00116389"/>
    <w:rsid w:val="00125D73"/>
    <w:rsid w:val="001270F3"/>
    <w:rsid w:val="00127BFF"/>
    <w:rsid w:val="0013211F"/>
    <w:rsid w:val="001435F2"/>
    <w:rsid w:val="0015093E"/>
    <w:rsid w:val="00155AC2"/>
    <w:rsid w:val="00170BDD"/>
    <w:rsid w:val="001745B6"/>
    <w:rsid w:val="00176B59"/>
    <w:rsid w:val="001803FE"/>
    <w:rsid w:val="001812E0"/>
    <w:rsid w:val="00182DA4"/>
    <w:rsid w:val="00186161"/>
    <w:rsid w:val="00190C08"/>
    <w:rsid w:val="001927A0"/>
    <w:rsid w:val="0019348E"/>
    <w:rsid w:val="001A60DD"/>
    <w:rsid w:val="001B39E3"/>
    <w:rsid w:val="001B6179"/>
    <w:rsid w:val="001B67CE"/>
    <w:rsid w:val="001C131A"/>
    <w:rsid w:val="001C6D16"/>
    <w:rsid w:val="001D4418"/>
    <w:rsid w:val="001D5063"/>
    <w:rsid w:val="001D510A"/>
    <w:rsid w:val="001D5E6E"/>
    <w:rsid w:val="001D72A6"/>
    <w:rsid w:val="001E289E"/>
    <w:rsid w:val="001E4F27"/>
    <w:rsid w:val="001E60FD"/>
    <w:rsid w:val="00205C5B"/>
    <w:rsid w:val="00215955"/>
    <w:rsid w:val="002212E6"/>
    <w:rsid w:val="00224394"/>
    <w:rsid w:val="00230E56"/>
    <w:rsid w:val="00242954"/>
    <w:rsid w:val="00242C9B"/>
    <w:rsid w:val="00261F16"/>
    <w:rsid w:val="00266023"/>
    <w:rsid w:val="00282771"/>
    <w:rsid w:val="00284A5B"/>
    <w:rsid w:val="002961F0"/>
    <w:rsid w:val="002A0C59"/>
    <w:rsid w:val="002A1E81"/>
    <w:rsid w:val="002B18A5"/>
    <w:rsid w:val="002B26DA"/>
    <w:rsid w:val="002B42C8"/>
    <w:rsid w:val="002B4875"/>
    <w:rsid w:val="002B5E3C"/>
    <w:rsid w:val="002B68FC"/>
    <w:rsid w:val="002C0774"/>
    <w:rsid w:val="002C3300"/>
    <w:rsid w:val="002C471E"/>
    <w:rsid w:val="002C504B"/>
    <w:rsid w:val="002C6080"/>
    <w:rsid w:val="002D7B9B"/>
    <w:rsid w:val="002E60FC"/>
    <w:rsid w:val="002F3A7B"/>
    <w:rsid w:val="00306498"/>
    <w:rsid w:val="00317C27"/>
    <w:rsid w:val="003245A5"/>
    <w:rsid w:val="00325CBB"/>
    <w:rsid w:val="003319C4"/>
    <w:rsid w:val="00332D90"/>
    <w:rsid w:val="00334B9E"/>
    <w:rsid w:val="0034305F"/>
    <w:rsid w:val="003434CD"/>
    <w:rsid w:val="003444A3"/>
    <w:rsid w:val="00344CD3"/>
    <w:rsid w:val="00351604"/>
    <w:rsid w:val="00357A28"/>
    <w:rsid w:val="0036089D"/>
    <w:rsid w:val="003729BD"/>
    <w:rsid w:val="00376AB7"/>
    <w:rsid w:val="00377AE2"/>
    <w:rsid w:val="00391E65"/>
    <w:rsid w:val="003A2B61"/>
    <w:rsid w:val="003A6292"/>
    <w:rsid w:val="003A79A5"/>
    <w:rsid w:val="003B2D9C"/>
    <w:rsid w:val="003B5361"/>
    <w:rsid w:val="003D3169"/>
    <w:rsid w:val="003D3B57"/>
    <w:rsid w:val="003D661C"/>
    <w:rsid w:val="003F690D"/>
    <w:rsid w:val="004106CE"/>
    <w:rsid w:val="00416D24"/>
    <w:rsid w:val="00417E3F"/>
    <w:rsid w:val="00423417"/>
    <w:rsid w:val="00426DAE"/>
    <w:rsid w:val="004415B2"/>
    <w:rsid w:val="0044297C"/>
    <w:rsid w:val="00453A73"/>
    <w:rsid w:val="0045662C"/>
    <w:rsid w:val="004570EF"/>
    <w:rsid w:val="00461171"/>
    <w:rsid w:val="004626CD"/>
    <w:rsid w:val="004636BE"/>
    <w:rsid w:val="00473A34"/>
    <w:rsid w:val="004751F4"/>
    <w:rsid w:val="00482768"/>
    <w:rsid w:val="004917DD"/>
    <w:rsid w:val="00492F49"/>
    <w:rsid w:val="004A03CE"/>
    <w:rsid w:val="004A3118"/>
    <w:rsid w:val="004A311D"/>
    <w:rsid w:val="004C0459"/>
    <w:rsid w:val="004C3140"/>
    <w:rsid w:val="004C5CF4"/>
    <w:rsid w:val="004E3C02"/>
    <w:rsid w:val="004E5272"/>
    <w:rsid w:val="004F77E8"/>
    <w:rsid w:val="00537D18"/>
    <w:rsid w:val="00540475"/>
    <w:rsid w:val="00543A43"/>
    <w:rsid w:val="00544319"/>
    <w:rsid w:val="005535A3"/>
    <w:rsid w:val="005571A2"/>
    <w:rsid w:val="0056303C"/>
    <w:rsid w:val="00565F48"/>
    <w:rsid w:val="00572320"/>
    <w:rsid w:val="00581AE1"/>
    <w:rsid w:val="00583CC1"/>
    <w:rsid w:val="0058638B"/>
    <w:rsid w:val="00593ED0"/>
    <w:rsid w:val="005A38EA"/>
    <w:rsid w:val="005A4F5D"/>
    <w:rsid w:val="005A5BA8"/>
    <w:rsid w:val="005A7601"/>
    <w:rsid w:val="005B00B4"/>
    <w:rsid w:val="005C42AC"/>
    <w:rsid w:val="005C4690"/>
    <w:rsid w:val="005D1780"/>
    <w:rsid w:val="005E2D62"/>
    <w:rsid w:val="005E5DA2"/>
    <w:rsid w:val="005F16BD"/>
    <w:rsid w:val="005F18F6"/>
    <w:rsid w:val="00605C29"/>
    <w:rsid w:val="0061449D"/>
    <w:rsid w:val="006171F2"/>
    <w:rsid w:val="00621937"/>
    <w:rsid w:val="0062634C"/>
    <w:rsid w:val="00630EF1"/>
    <w:rsid w:val="00631992"/>
    <w:rsid w:val="00632D93"/>
    <w:rsid w:val="00636E20"/>
    <w:rsid w:val="00645D1C"/>
    <w:rsid w:val="006466F1"/>
    <w:rsid w:val="0066186A"/>
    <w:rsid w:val="00664E26"/>
    <w:rsid w:val="00666C5B"/>
    <w:rsid w:val="00672F97"/>
    <w:rsid w:val="00676BC2"/>
    <w:rsid w:val="0068087C"/>
    <w:rsid w:val="0068219C"/>
    <w:rsid w:val="00684B92"/>
    <w:rsid w:val="00686067"/>
    <w:rsid w:val="00691933"/>
    <w:rsid w:val="006955DC"/>
    <w:rsid w:val="006A31A0"/>
    <w:rsid w:val="006B02F6"/>
    <w:rsid w:val="006C7023"/>
    <w:rsid w:val="006D12C9"/>
    <w:rsid w:val="006D1B81"/>
    <w:rsid w:val="006D23BC"/>
    <w:rsid w:val="006D3708"/>
    <w:rsid w:val="006D6719"/>
    <w:rsid w:val="006E4B7D"/>
    <w:rsid w:val="006E7C21"/>
    <w:rsid w:val="007008EA"/>
    <w:rsid w:val="00702B80"/>
    <w:rsid w:val="00703F67"/>
    <w:rsid w:val="00704F3F"/>
    <w:rsid w:val="0071594B"/>
    <w:rsid w:val="00716045"/>
    <w:rsid w:val="0072579A"/>
    <w:rsid w:val="0072674E"/>
    <w:rsid w:val="007277F6"/>
    <w:rsid w:val="00736A7E"/>
    <w:rsid w:val="00747557"/>
    <w:rsid w:val="00752268"/>
    <w:rsid w:val="00753CBE"/>
    <w:rsid w:val="007568D7"/>
    <w:rsid w:val="0077313C"/>
    <w:rsid w:val="0077439B"/>
    <w:rsid w:val="0078320A"/>
    <w:rsid w:val="00785A97"/>
    <w:rsid w:val="00786301"/>
    <w:rsid w:val="00792176"/>
    <w:rsid w:val="00793727"/>
    <w:rsid w:val="007A2FA7"/>
    <w:rsid w:val="007A411F"/>
    <w:rsid w:val="007B1511"/>
    <w:rsid w:val="007B2C26"/>
    <w:rsid w:val="007C15D3"/>
    <w:rsid w:val="007C3253"/>
    <w:rsid w:val="007C4CC6"/>
    <w:rsid w:val="007C5003"/>
    <w:rsid w:val="007C66E2"/>
    <w:rsid w:val="007D11BB"/>
    <w:rsid w:val="007D6D52"/>
    <w:rsid w:val="007E0BF5"/>
    <w:rsid w:val="007E0ECB"/>
    <w:rsid w:val="007E1E9A"/>
    <w:rsid w:val="007F3732"/>
    <w:rsid w:val="00804446"/>
    <w:rsid w:val="00817E3B"/>
    <w:rsid w:val="00821129"/>
    <w:rsid w:val="00825940"/>
    <w:rsid w:val="008306B5"/>
    <w:rsid w:val="0083119B"/>
    <w:rsid w:val="00831420"/>
    <w:rsid w:val="00833FFA"/>
    <w:rsid w:val="008362CE"/>
    <w:rsid w:val="00837694"/>
    <w:rsid w:val="0084170C"/>
    <w:rsid w:val="0084322E"/>
    <w:rsid w:val="0084559F"/>
    <w:rsid w:val="00845FBC"/>
    <w:rsid w:val="008461DF"/>
    <w:rsid w:val="008549AF"/>
    <w:rsid w:val="008555A8"/>
    <w:rsid w:val="0085608D"/>
    <w:rsid w:val="0087318C"/>
    <w:rsid w:val="00880358"/>
    <w:rsid w:val="008A25F7"/>
    <w:rsid w:val="008A6AA4"/>
    <w:rsid w:val="008B62FB"/>
    <w:rsid w:val="008C0B33"/>
    <w:rsid w:val="008D09D6"/>
    <w:rsid w:val="008D7289"/>
    <w:rsid w:val="008D7926"/>
    <w:rsid w:val="008E0CC7"/>
    <w:rsid w:val="008E7683"/>
    <w:rsid w:val="0090413E"/>
    <w:rsid w:val="00907ABF"/>
    <w:rsid w:val="00920502"/>
    <w:rsid w:val="00926664"/>
    <w:rsid w:val="00926AE7"/>
    <w:rsid w:val="00934233"/>
    <w:rsid w:val="00943B84"/>
    <w:rsid w:val="009748D1"/>
    <w:rsid w:val="009770D2"/>
    <w:rsid w:val="009932DA"/>
    <w:rsid w:val="009A1E1F"/>
    <w:rsid w:val="009A75AA"/>
    <w:rsid w:val="009B036F"/>
    <w:rsid w:val="009B7A77"/>
    <w:rsid w:val="009D0760"/>
    <w:rsid w:val="009E0A42"/>
    <w:rsid w:val="009E5BD0"/>
    <w:rsid w:val="009E6DBA"/>
    <w:rsid w:val="009F4966"/>
    <w:rsid w:val="00A11C54"/>
    <w:rsid w:val="00A13C00"/>
    <w:rsid w:val="00A361EE"/>
    <w:rsid w:val="00A36BBF"/>
    <w:rsid w:val="00A47126"/>
    <w:rsid w:val="00A63D65"/>
    <w:rsid w:val="00A714A2"/>
    <w:rsid w:val="00A77DFE"/>
    <w:rsid w:val="00A82FAE"/>
    <w:rsid w:val="00A83EED"/>
    <w:rsid w:val="00A857FE"/>
    <w:rsid w:val="00A945CB"/>
    <w:rsid w:val="00A950CE"/>
    <w:rsid w:val="00A979B5"/>
    <w:rsid w:val="00AA0C8B"/>
    <w:rsid w:val="00AA39FB"/>
    <w:rsid w:val="00AC3800"/>
    <w:rsid w:val="00AD0319"/>
    <w:rsid w:val="00AD2963"/>
    <w:rsid w:val="00AD2EA4"/>
    <w:rsid w:val="00AD553E"/>
    <w:rsid w:val="00AE0AC9"/>
    <w:rsid w:val="00AE6A88"/>
    <w:rsid w:val="00B02458"/>
    <w:rsid w:val="00B132B9"/>
    <w:rsid w:val="00B13F4B"/>
    <w:rsid w:val="00B26719"/>
    <w:rsid w:val="00B352CF"/>
    <w:rsid w:val="00B4064C"/>
    <w:rsid w:val="00B42491"/>
    <w:rsid w:val="00B44D11"/>
    <w:rsid w:val="00B50EB9"/>
    <w:rsid w:val="00B5746F"/>
    <w:rsid w:val="00B63F2F"/>
    <w:rsid w:val="00B7055E"/>
    <w:rsid w:val="00B70C31"/>
    <w:rsid w:val="00B73474"/>
    <w:rsid w:val="00B80958"/>
    <w:rsid w:val="00B83992"/>
    <w:rsid w:val="00B848B9"/>
    <w:rsid w:val="00B8524D"/>
    <w:rsid w:val="00B90C38"/>
    <w:rsid w:val="00BA0846"/>
    <w:rsid w:val="00BB2234"/>
    <w:rsid w:val="00BB2450"/>
    <w:rsid w:val="00BB4DB7"/>
    <w:rsid w:val="00BC2416"/>
    <w:rsid w:val="00BC6A66"/>
    <w:rsid w:val="00BD4854"/>
    <w:rsid w:val="00BD5019"/>
    <w:rsid w:val="00BE1848"/>
    <w:rsid w:val="00BE4A17"/>
    <w:rsid w:val="00BF558D"/>
    <w:rsid w:val="00C00DE1"/>
    <w:rsid w:val="00C07448"/>
    <w:rsid w:val="00C20D05"/>
    <w:rsid w:val="00C22DF9"/>
    <w:rsid w:val="00C23666"/>
    <w:rsid w:val="00C26D50"/>
    <w:rsid w:val="00C4461F"/>
    <w:rsid w:val="00C44723"/>
    <w:rsid w:val="00C66FA1"/>
    <w:rsid w:val="00C71274"/>
    <w:rsid w:val="00C723A8"/>
    <w:rsid w:val="00C728E0"/>
    <w:rsid w:val="00C73321"/>
    <w:rsid w:val="00C73EE3"/>
    <w:rsid w:val="00C800D2"/>
    <w:rsid w:val="00C802E7"/>
    <w:rsid w:val="00C82CB6"/>
    <w:rsid w:val="00C82E42"/>
    <w:rsid w:val="00CA521F"/>
    <w:rsid w:val="00CB0E5E"/>
    <w:rsid w:val="00CD52B5"/>
    <w:rsid w:val="00CE1E2A"/>
    <w:rsid w:val="00CE6B43"/>
    <w:rsid w:val="00CE760E"/>
    <w:rsid w:val="00CF143D"/>
    <w:rsid w:val="00CF45BB"/>
    <w:rsid w:val="00CF4DAC"/>
    <w:rsid w:val="00D02CA0"/>
    <w:rsid w:val="00D04635"/>
    <w:rsid w:val="00D04652"/>
    <w:rsid w:val="00D058BE"/>
    <w:rsid w:val="00D07DFD"/>
    <w:rsid w:val="00D11BB5"/>
    <w:rsid w:val="00D15D3E"/>
    <w:rsid w:val="00D167E9"/>
    <w:rsid w:val="00D17A81"/>
    <w:rsid w:val="00D17DB3"/>
    <w:rsid w:val="00D27601"/>
    <w:rsid w:val="00D378AF"/>
    <w:rsid w:val="00D40356"/>
    <w:rsid w:val="00D4128F"/>
    <w:rsid w:val="00D41826"/>
    <w:rsid w:val="00D55A78"/>
    <w:rsid w:val="00D561A9"/>
    <w:rsid w:val="00D6046C"/>
    <w:rsid w:val="00D61DB6"/>
    <w:rsid w:val="00D63414"/>
    <w:rsid w:val="00D63F55"/>
    <w:rsid w:val="00D64F7B"/>
    <w:rsid w:val="00D736B8"/>
    <w:rsid w:val="00D7588B"/>
    <w:rsid w:val="00D8440D"/>
    <w:rsid w:val="00D9117E"/>
    <w:rsid w:val="00D91750"/>
    <w:rsid w:val="00DA4040"/>
    <w:rsid w:val="00DC0AA7"/>
    <w:rsid w:val="00DC204E"/>
    <w:rsid w:val="00DC2F61"/>
    <w:rsid w:val="00DC3094"/>
    <w:rsid w:val="00DC3520"/>
    <w:rsid w:val="00DC5E69"/>
    <w:rsid w:val="00DD1E7C"/>
    <w:rsid w:val="00DD685A"/>
    <w:rsid w:val="00DE4BB0"/>
    <w:rsid w:val="00DF02DD"/>
    <w:rsid w:val="00DF6A2F"/>
    <w:rsid w:val="00DF72EC"/>
    <w:rsid w:val="00E019E9"/>
    <w:rsid w:val="00E03011"/>
    <w:rsid w:val="00E179FD"/>
    <w:rsid w:val="00E217D3"/>
    <w:rsid w:val="00E34D26"/>
    <w:rsid w:val="00E475E0"/>
    <w:rsid w:val="00E518C2"/>
    <w:rsid w:val="00E536D6"/>
    <w:rsid w:val="00E53EAB"/>
    <w:rsid w:val="00E60D3A"/>
    <w:rsid w:val="00E657E6"/>
    <w:rsid w:val="00E66EBD"/>
    <w:rsid w:val="00E67B7D"/>
    <w:rsid w:val="00E76401"/>
    <w:rsid w:val="00E76842"/>
    <w:rsid w:val="00E81D13"/>
    <w:rsid w:val="00E872DF"/>
    <w:rsid w:val="00E9104E"/>
    <w:rsid w:val="00E94653"/>
    <w:rsid w:val="00E97C4F"/>
    <w:rsid w:val="00EA28FB"/>
    <w:rsid w:val="00EA7122"/>
    <w:rsid w:val="00EB236A"/>
    <w:rsid w:val="00EB7B7D"/>
    <w:rsid w:val="00EC0876"/>
    <w:rsid w:val="00EC31CE"/>
    <w:rsid w:val="00EC6200"/>
    <w:rsid w:val="00EC6FBC"/>
    <w:rsid w:val="00ED07D3"/>
    <w:rsid w:val="00EE0B00"/>
    <w:rsid w:val="00EE20E0"/>
    <w:rsid w:val="00EF7291"/>
    <w:rsid w:val="00F0067F"/>
    <w:rsid w:val="00F02624"/>
    <w:rsid w:val="00F10ACE"/>
    <w:rsid w:val="00F22A8A"/>
    <w:rsid w:val="00F25475"/>
    <w:rsid w:val="00F27001"/>
    <w:rsid w:val="00F37E78"/>
    <w:rsid w:val="00F513F6"/>
    <w:rsid w:val="00F547D2"/>
    <w:rsid w:val="00F5784A"/>
    <w:rsid w:val="00F62285"/>
    <w:rsid w:val="00F67134"/>
    <w:rsid w:val="00F77BCE"/>
    <w:rsid w:val="00F82FD0"/>
    <w:rsid w:val="00F92E66"/>
    <w:rsid w:val="00F96BB0"/>
    <w:rsid w:val="00FA0A5C"/>
    <w:rsid w:val="00FA1E30"/>
    <w:rsid w:val="00FA6F76"/>
    <w:rsid w:val="00FB1236"/>
    <w:rsid w:val="00FC4DA7"/>
    <w:rsid w:val="00FD41CC"/>
    <w:rsid w:val="00FD6489"/>
    <w:rsid w:val="00FE4538"/>
    <w:rsid w:val="00FF3B03"/>
    <w:rsid w:val="00FF6313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05102-7C7F-42CE-9195-26E35BA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8D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D79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5CBB"/>
    <w:rPr>
      <w:sz w:val="18"/>
      <w:szCs w:val="18"/>
    </w:rPr>
  </w:style>
  <w:style w:type="paragraph" w:styleId="a6">
    <w:name w:val="List Paragraph"/>
    <w:basedOn w:val="a"/>
    <w:uiPriority w:val="34"/>
    <w:qFormat/>
    <w:rsid w:val="00EB7B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158</cp:revision>
  <dcterms:created xsi:type="dcterms:W3CDTF">2024-05-21T06:47:00Z</dcterms:created>
  <dcterms:modified xsi:type="dcterms:W3CDTF">2025-05-29T08:31:00Z</dcterms:modified>
</cp:coreProperties>
</file>