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A5835">
      <w:pPr>
        <w:spacing w:before="156" w:beforeLines="50" w:after="156" w:afterLines="50" w:line="400" w:lineRule="exact"/>
        <w:ind w:firstLine="0" w:firstLineChars="0"/>
        <w:rPr>
          <w:bCs/>
          <w:iCs/>
          <w:color w:val="000000"/>
          <w:szCs w:val="22"/>
        </w:rPr>
      </w:pPr>
      <w:r>
        <w:rPr>
          <w:bCs/>
          <w:iCs/>
          <w:color w:val="000000"/>
          <w:szCs w:val="22"/>
        </w:rPr>
        <w:t>证券代码：688273                                     证券简称：麦澜德</w:t>
      </w:r>
    </w:p>
    <w:p w14:paraId="2A04B973">
      <w:pPr>
        <w:ind w:firstLine="0" w:firstLineChars="0"/>
        <w:jc w:val="center"/>
        <w:rPr>
          <w:b/>
          <w:bCs/>
          <w:iCs/>
          <w:color w:val="000000"/>
        </w:rPr>
      </w:pPr>
      <w:r>
        <w:rPr>
          <w:b/>
          <w:bCs/>
          <w:iCs/>
          <w:color w:val="000000"/>
          <w:sz w:val="28"/>
          <w:szCs w:val="28"/>
        </w:rPr>
        <w:t>南京麦澜德医疗科技股份有限公司投资者关系活动记录表</w:t>
      </w:r>
    </w:p>
    <w:p w14:paraId="45FDAF5D">
      <w:pPr>
        <w:ind w:firstLine="0" w:firstLineChars="0"/>
        <w:jc w:val="center"/>
        <w:rPr>
          <w:b/>
          <w:bCs/>
          <w:iCs/>
          <w:color w:val="000000"/>
        </w:rPr>
      </w:pPr>
      <w:r>
        <w:rPr>
          <w:b/>
          <w:bCs/>
          <w:iCs/>
          <w:color w:val="000000"/>
        </w:rPr>
        <w:t>（202</w:t>
      </w:r>
      <w:r>
        <w:rPr>
          <w:rFonts w:hint="eastAsia"/>
          <w:b/>
          <w:bCs/>
          <w:iCs/>
          <w:color w:val="000000"/>
          <w:lang w:val="en-US" w:eastAsia="zh-CN"/>
        </w:rPr>
        <w:t>5</w:t>
      </w:r>
      <w:r>
        <w:rPr>
          <w:b/>
          <w:bCs/>
          <w:iCs/>
          <w:color w:val="000000"/>
        </w:rPr>
        <w:t>年</w:t>
      </w:r>
      <w:r>
        <w:rPr>
          <w:rFonts w:hint="eastAsia"/>
          <w:b/>
          <w:bCs/>
          <w:iCs/>
          <w:color w:val="000000"/>
          <w:lang w:val="en-US" w:eastAsia="zh-CN"/>
        </w:rPr>
        <w:t>5</w:t>
      </w:r>
      <w:r>
        <w:rPr>
          <w:b/>
          <w:bCs/>
          <w:iCs/>
          <w:color w:val="000000"/>
        </w:rPr>
        <w:t>月</w:t>
      </w:r>
      <w:r>
        <w:rPr>
          <w:rFonts w:hint="eastAsia"/>
          <w:b/>
          <w:bCs/>
          <w:iCs/>
          <w:color w:val="000000"/>
          <w:lang w:val="en-US" w:eastAsia="zh-CN"/>
        </w:rPr>
        <w:t>28</w:t>
      </w:r>
      <w:r>
        <w:rPr>
          <w:b/>
          <w:bCs/>
          <w:iCs/>
          <w:color w:val="000000"/>
        </w:rPr>
        <w:t>日）</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025"/>
      </w:tblGrid>
      <w:tr w14:paraId="1BBD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A632A2E">
            <w:pPr>
              <w:spacing w:line="400" w:lineRule="exact"/>
              <w:ind w:firstLine="480"/>
              <w:rPr>
                <w:bCs/>
                <w:iCs/>
                <w:color w:val="000000"/>
              </w:rPr>
            </w:pPr>
            <w:r>
              <w:rPr>
                <w:bCs/>
                <w:iCs/>
                <w:color w:val="000000"/>
              </w:rPr>
              <w:t xml:space="preserve">                                                  投资者关系活动类别</w:t>
            </w:r>
          </w:p>
          <w:p w14:paraId="776B3973">
            <w:pPr>
              <w:ind w:firstLine="0" w:firstLineChars="0"/>
              <w:rPr>
                <w:bCs/>
                <w:iCs/>
                <w:color w:val="000000"/>
              </w:rPr>
            </w:pP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6B60B998">
            <w:pPr>
              <w:spacing w:line="480" w:lineRule="atLeast"/>
              <w:ind w:firstLine="0" w:firstLineChars="0"/>
              <w:rPr>
                <w:bCs/>
                <w:iCs/>
                <w:color w:val="000000"/>
              </w:rPr>
            </w:pPr>
            <w:r>
              <w:rPr>
                <w:bCs/>
                <w:iCs/>
                <w:color w:val="000000"/>
              </w:rPr>
              <w:sym w:font="Wingdings 2" w:char="0052"/>
            </w:r>
            <w:r>
              <w:t xml:space="preserve">特定对象调研       </w:t>
            </w:r>
            <w:r>
              <w:rPr>
                <w:rFonts w:hint="eastAsia"/>
                <w:lang w:val="en-US" w:eastAsia="zh-CN"/>
              </w:rPr>
              <w:t xml:space="preserve"> </w:t>
            </w:r>
            <w:r>
              <w:rPr>
                <w:bCs/>
                <w:iCs/>
                <w:color w:val="000000"/>
              </w:rPr>
              <w:sym w:font="Wingdings 2" w:char="00A3"/>
            </w:r>
            <w:r>
              <w:t>分析师会议</w:t>
            </w:r>
          </w:p>
          <w:p w14:paraId="0908DB8F">
            <w:pPr>
              <w:spacing w:line="480" w:lineRule="atLeast"/>
              <w:ind w:firstLine="0" w:firstLineChars="0"/>
              <w:rPr>
                <w:bCs/>
                <w:iCs/>
                <w:color w:val="000000"/>
              </w:rPr>
            </w:pPr>
            <w:r>
              <w:rPr>
                <w:bCs/>
                <w:iCs/>
                <w:color w:val="000000"/>
              </w:rPr>
              <w:sym w:font="Wingdings 2" w:char="00A3"/>
            </w:r>
            <w:r>
              <w:t xml:space="preserve">媒体采访            </w:t>
            </w:r>
            <w:r>
              <w:rPr>
                <w:bCs/>
                <w:iCs/>
                <w:color w:val="000000"/>
              </w:rPr>
              <w:sym w:font="Wingdings 2" w:char="00A3"/>
            </w:r>
            <w:r>
              <w:t>业绩说明会</w:t>
            </w:r>
          </w:p>
          <w:p w14:paraId="381C8D43">
            <w:pPr>
              <w:spacing w:line="480" w:lineRule="atLeast"/>
              <w:ind w:firstLine="0" w:firstLineChars="0"/>
              <w:rPr>
                <w:bCs/>
                <w:iCs/>
                <w:color w:val="000000"/>
              </w:rPr>
            </w:pPr>
            <w:r>
              <w:rPr>
                <w:bCs/>
                <w:iCs/>
                <w:color w:val="000000"/>
              </w:rPr>
              <w:sym w:font="Wingdings 2" w:char="00A3"/>
            </w:r>
            <w:r>
              <w:t xml:space="preserve">新闻发布会          </w:t>
            </w:r>
            <w:r>
              <w:rPr>
                <w:bCs/>
                <w:iCs/>
                <w:color w:val="000000"/>
              </w:rPr>
              <w:sym w:font="Wingdings 2" w:char="00A3"/>
            </w:r>
            <w:r>
              <w:t>路演活动</w:t>
            </w:r>
          </w:p>
          <w:p w14:paraId="3FF92408">
            <w:pPr>
              <w:tabs>
                <w:tab w:val="left" w:pos="3045"/>
                <w:tab w:val="center" w:pos="3199"/>
              </w:tabs>
              <w:spacing w:line="480" w:lineRule="atLeast"/>
              <w:ind w:firstLine="0" w:firstLineChars="0"/>
              <w:rPr>
                <w:bCs/>
                <w:iCs/>
                <w:color w:val="000000"/>
              </w:rPr>
            </w:pPr>
            <w:r>
              <w:rPr>
                <w:bCs/>
                <w:iCs/>
                <w:color w:val="000000"/>
              </w:rPr>
              <w:sym w:font="Wingdings 2" w:char="0052"/>
            </w:r>
            <w:r>
              <w:t>现场参观</w:t>
            </w:r>
            <w:r>
              <w:rPr>
                <w:bCs/>
                <w:iCs/>
                <w:color w:val="000000"/>
              </w:rPr>
              <w:tab/>
            </w:r>
          </w:p>
          <w:p w14:paraId="317153B8">
            <w:pPr>
              <w:tabs>
                <w:tab w:val="center" w:pos="3199"/>
              </w:tabs>
              <w:spacing w:line="480" w:lineRule="atLeast"/>
              <w:ind w:firstLine="0" w:firstLineChars="0"/>
              <w:rPr>
                <w:bCs/>
                <w:iCs/>
                <w:color w:val="000000"/>
                <w:u w:val="single"/>
              </w:rPr>
            </w:pPr>
            <w:r>
              <w:rPr>
                <w:bCs/>
                <w:iCs/>
                <w:color w:val="000000"/>
              </w:rPr>
              <w:sym w:font="Wingdings 2" w:char="00A3"/>
            </w:r>
            <w:r>
              <w:t xml:space="preserve">其他 </w:t>
            </w:r>
          </w:p>
        </w:tc>
      </w:tr>
      <w:tr w14:paraId="2904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26BE33A">
            <w:pPr>
              <w:ind w:firstLine="0" w:firstLineChars="0"/>
              <w:rPr>
                <w:bCs/>
                <w:iCs/>
                <w:color w:val="000000"/>
              </w:rPr>
            </w:pPr>
            <w:r>
              <w:rPr>
                <w:bCs/>
                <w:iCs/>
                <w:color w:val="000000"/>
              </w:rPr>
              <w:t>参与单位名称</w:t>
            </w: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7E46605E">
            <w:pPr>
              <w:spacing w:line="480" w:lineRule="atLeast"/>
              <w:ind w:firstLine="0" w:firstLineChars="0"/>
              <w:rPr>
                <w:rFonts w:hint="eastAsia"/>
                <w:lang w:val="en-US" w:eastAsia="zh-CN"/>
              </w:rPr>
            </w:pPr>
            <w:r>
              <w:rPr>
                <w:rFonts w:hint="eastAsia"/>
                <w:lang w:val="en-US" w:eastAsia="zh-CN"/>
              </w:rPr>
              <w:t>共12家机构，14位参与人</w:t>
            </w:r>
          </w:p>
          <w:p w14:paraId="1BD8D3C6">
            <w:pPr>
              <w:spacing w:line="480" w:lineRule="atLeast"/>
              <w:ind w:firstLine="0" w:firstLineChars="0"/>
              <w:rPr>
                <w:rFonts w:hint="default"/>
                <w:lang w:val="en-US" w:eastAsia="zh-CN"/>
              </w:rPr>
            </w:pPr>
            <w:r>
              <w:rPr>
                <w:rFonts w:ascii="宋体" w:hAnsi="宋体" w:eastAsia="宋体" w:cs="宋体"/>
                <w:sz w:val="24"/>
                <w:szCs w:val="24"/>
                <w:highlight w:val="none"/>
              </w:rPr>
              <w:t>太平洋证券</w:t>
            </w:r>
            <w:r>
              <w:rPr>
                <w:rFonts w:hint="eastAsia" w:ascii="宋体" w:hAnsi="宋体" w:cs="宋体"/>
                <w:sz w:val="24"/>
                <w:szCs w:val="24"/>
                <w:highlight w:val="none"/>
                <w:lang w:eastAsia="zh-CN"/>
              </w:rPr>
              <w:t>、</w:t>
            </w:r>
            <w:r>
              <w:rPr>
                <w:rFonts w:ascii="宋体" w:hAnsi="宋体" w:eastAsia="宋体" w:cs="宋体"/>
                <w:sz w:val="24"/>
                <w:szCs w:val="24"/>
                <w:highlight w:val="none"/>
              </w:rPr>
              <w:t>东方证券</w:t>
            </w:r>
            <w:r>
              <w:rPr>
                <w:rFonts w:hint="eastAsia" w:ascii="宋体" w:hAnsi="宋体" w:cs="宋体"/>
                <w:sz w:val="24"/>
                <w:szCs w:val="24"/>
                <w:highlight w:val="none"/>
                <w:lang w:eastAsia="zh-CN"/>
              </w:rPr>
              <w:t>、</w:t>
            </w:r>
            <w:r>
              <w:rPr>
                <w:rFonts w:ascii="宋体" w:hAnsi="宋体" w:eastAsia="宋体" w:cs="宋体"/>
                <w:sz w:val="24"/>
                <w:szCs w:val="24"/>
                <w:highlight w:val="none"/>
              </w:rPr>
              <w:t>国信证券</w:t>
            </w:r>
            <w:r>
              <w:rPr>
                <w:rFonts w:hint="eastAsia" w:ascii="宋体" w:hAnsi="宋体" w:cs="宋体"/>
                <w:sz w:val="24"/>
                <w:szCs w:val="24"/>
                <w:highlight w:val="none"/>
                <w:lang w:eastAsia="zh-CN"/>
              </w:rPr>
              <w:t>、</w:t>
            </w:r>
            <w:r>
              <w:rPr>
                <w:rFonts w:ascii="宋体" w:hAnsi="宋体" w:eastAsia="宋体" w:cs="宋体"/>
                <w:sz w:val="24"/>
                <w:szCs w:val="24"/>
                <w:highlight w:val="none"/>
              </w:rPr>
              <w:t>中邮证券</w:t>
            </w:r>
            <w:r>
              <w:rPr>
                <w:rFonts w:hint="eastAsia" w:ascii="宋体" w:hAnsi="宋体" w:cs="宋体"/>
                <w:sz w:val="24"/>
                <w:szCs w:val="24"/>
                <w:highlight w:val="none"/>
                <w:lang w:eastAsia="zh-CN"/>
              </w:rPr>
              <w:t>、</w:t>
            </w:r>
            <w:r>
              <w:rPr>
                <w:rFonts w:ascii="宋体" w:hAnsi="宋体" w:eastAsia="宋体" w:cs="宋体"/>
                <w:sz w:val="24"/>
                <w:szCs w:val="24"/>
                <w:highlight w:val="none"/>
              </w:rPr>
              <w:t>银河证券</w:t>
            </w:r>
            <w:r>
              <w:rPr>
                <w:rFonts w:hint="eastAsia" w:ascii="宋体" w:hAnsi="宋体" w:cs="宋体"/>
                <w:sz w:val="24"/>
                <w:szCs w:val="24"/>
                <w:highlight w:val="none"/>
                <w:lang w:eastAsia="zh-CN"/>
              </w:rPr>
              <w:t>、</w:t>
            </w:r>
            <w:r>
              <w:rPr>
                <w:rFonts w:ascii="宋体" w:hAnsi="宋体" w:eastAsia="宋体" w:cs="宋体"/>
                <w:sz w:val="24"/>
                <w:szCs w:val="24"/>
                <w:highlight w:val="none"/>
              </w:rPr>
              <w:t>中泰证券</w:t>
            </w:r>
            <w:r>
              <w:rPr>
                <w:rFonts w:hint="eastAsia" w:ascii="宋体" w:hAnsi="宋体" w:cs="宋体"/>
                <w:sz w:val="24"/>
                <w:szCs w:val="24"/>
                <w:highlight w:val="none"/>
                <w:lang w:eastAsia="zh-CN"/>
              </w:rPr>
              <w:t>、</w:t>
            </w:r>
            <w:r>
              <w:rPr>
                <w:rFonts w:ascii="宋体" w:hAnsi="宋体" w:eastAsia="宋体" w:cs="宋体"/>
                <w:sz w:val="24"/>
                <w:szCs w:val="24"/>
                <w:highlight w:val="none"/>
              </w:rPr>
              <w:t>宁银理财</w:t>
            </w:r>
            <w:r>
              <w:rPr>
                <w:rFonts w:hint="eastAsia" w:ascii="宋体" w:hAnsi="宋体" w:cs="宋体"/>
                <w:sz w:val="24"/>
                <w:szCs w:val="24"/>
                <w:highlight w:val="none"/>
                <w:lang w:eastAsia="zh-CN"/>
              </w:rPr>
              <w:t>、</w:t>
            </w:r>
            <w:r>
              <w:rPr>
                <w:rFonts w:ascii="宋体" w:hAnsi="宋体" w:eastAsia="宋体" w:cs="宋体"/>
                <w:sz w:val="24"/>
                <w:szCs w:val="24"/>
                <w:highlight w:val="none"/>
              </w:rPr>
              <w:t>新华资产</w:t>
            </w:r>
            <w:r>
              <w:rPr>
                <w:rFonts w:hint="eastAsia" w:ascii="宋体" w:hAnsi="宋体" w:cs="宋体"/>
                <w:sz w:val="24"/>
                <w:szCs w:val="24"/>
                <w:highlight w:val="none"/>
                <w:lang w:eastAsia="zh-CN"/>
              </w:rPr>
              <w:t>、</w:t>
            </w:r>
            <w:r>
              <w:rPr>
                <w:rFonts w:ascii="宋体" w:hAnsi="宋体" w:eastAsia="宋体" w:cs="宋体"/>
                <w:sz w:val="24"/>
                <w:szCs w:val="24"/>
                <w:highlight w:val="none"/>
              </w:rPr>
              <w:t>湘财基金</w:t>
            </w:r>
            <w:r>
              <w:rPr>
                <w:rFonts w:hint="eastAsia" w:ascii="宋体" w:hAnsi="宋体" w:cs="宋体"/>
                <w:sz w:val="24"/>
                <w:szCs w:val="24"/>
                <w:highlight w:val="none"/>
                <w:lang w:eastAsia="zh-CN"/>
              </w:rPr>
              <w:t>、</w:t>
            </w:r>
            <w:r>
              <w:rPr>
                <w:rFonts w:ascii="宋体" w:hAnsi="宋体" w:eastAsia="宋体" w:cs="宋体"/>
                <w:sz w:val="24"/>
                <w:szCs w:val="24"/>
                <w:highlight w:val="none"/>
              </w:rPr>
              <w:t>华宝投资</w:t>
            </w:r>
            <w:r>
              <w:rPr>
                <w:rFonts w:hint="eastAsia" w:ascii="宋体" w:hAnsi="宋体" w:cs="宋体"/>
                <w:sz w:val="24"/>
                <w:szCs w:val="24"/>
                <w:highlight w:val="none"/>
                <w:lang w:eastAsia="zh-CN"/>
              </w:rPr>
              <w:t>、</w:t>
            </w:r>
            <w:r>
              <w:rPr>
                <w:rFonts w:ascii="宋体" w:hAnsi="宋体" w:eastAsia="宋体" w:cs="宋体"/>
                <w:sz w:val="24"/>
                <w:szCs w:val="24"/>
                <w:highlight w:val="none"/>
              </w:rPr>
              <w:t>华福证券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国泰海通</w:t>
            </w:r>
          </w:p>
        </w:tc>
      </w:tr>
      <w:tr w14:paraId="0930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6B73982">
            <w:pPr>
              <w:ind w:firstLine="0" w:firstLineChars="0"/>
              <w:rPr>
                <w:bCs/>
                <w:iCs/>
                <w:color w:val="000000"/>
              </w:rPr>
            </w:pPr>
            <w:r>
              <w:rPr>
                <w:bCs/>
                <w:iCs/>
                <w:color w:val="000000"/>
              </w:rPr>
              <w:t>时间</w:t>
            </w: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4310BACD">
            <w:pPr>
              <w:spacing w:line="240" w:lineRule="auto"/>
              <w:ind w:firstLine="0" w:firstLineChars="0"/>
              <w:rPr>
                <w:bCs/>
                <w:iCs/>
                <w:color w:val="000000"/>
              </w:rPr>
            </w:pPr>
            <w:r>
              <w:rPr>
                <w:bCs/>
                <w:iCs/>
                <w:color w:val="000000"/>
              </w:rPr>
              <w:t>202</w:t>
            </w:r>
            <w:r>
              <w:rPr>
                <w:rFonts w:hint="eastAsia"/>
                <w:bCs/>
                <w:iCs/>
                <w:color w:val="000000"/>
                <w:lang w:val="en-US" w:eastAsia="zh-CN"/>
              </w:rPr>
              <w:t>5</w:t>
            </w:r>
            <w:r>
              <w:rPr>
                <w:bCs/>
                <w:iCs/>
                <w:color w:val="000000"/>
              </w:rPr>
              <w:t>年</w:t>
            </w:r>
            <w:r>
              <w:rPr>
                <w:rFonts w:hint="eastAsia"/>
                <w:bCs/>
                <w:iCs/>
                <w:color w:val="000000"/>
                <w:lang w:val="en-US" w:eastAsia="zh-CN"/>
              </w:rPr>
              <w:t>5</w:t>
            </w:r>
            <w:r>
              <w:rPr>
                <w:bCs/>
                <w:iCs/>
                <w:color w:val="000000"/>
              </w:rPr>
              <w:t>月</w:t>
            </w:r>
            <w:r>
              <w:rPr>
                <w:rFonts w:hint="eastAsia"/>
                <w:bCs/>
                <w:iCs/>
                <w:color w:val="000000"/>
                <w:lang w:val="en-US" w:eastAsia="zh-CN"/>
              </w:rPr>
              <w:t>28</w:t>
            </w:r>
            <w:r>
              <w:rPr>
                <w:bCs/>
                <w:iCs/>
                <w:color w:val="000000"/>
              </w:rPr>
              <w:t>日</w:t>
            </w:r>
          </w:p>
        </w:tc>
      </w:tr>
      <w:tr w14:paraId="7EE4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01230535">
            <w:pPr>
              <w:ind w:firstLine="0" w:firstLineChars="0"/>
              <w:rPr>
                <w:bCs/>
                <w:iCs/>
                <w:color w:val="000000"/>
              </w:rPr>
            </w:pPr>
            <w:r>
              <w:rPr>
                <w:bCs/>
                <w:iCs/>
                <w:color w:val="000000"/>
              </w:rPr>
              <w:t>地点（形式）</w:t>
            </w: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439B488E">
            <w:pPr>
              <w:ind w:left="0" w:leftChars="0" w:firstLine="0" w:firstLineChars="0"/>
              <w:rPr>
                <w:rFonts w:hint="default" w:eastAsia="宋体"/>
                <w:bCs/>
                <w:iCs/>
                <w:color w:val="000000"/>
                <w:lang w:val="en-US" w:eastAsia="zh-CN"/>
              </w:rPr>
            </w:pPr>
            <w:r>
              <w:rPr>
                <w:rFonts w:hint="eastAsia"/>
                <w:bCs/>
                <w:iCs/>
                <w:color w:val="000000"/>
                <w:lang w:val="en-US" w:eastAsia="zh-CN"/>
              </w:rPr>
              <w:t>麦澜德大厦</w:t>
            </w:r>
          </w:p>
        </w:tc>
      </w:tr>
      <w:tr w14:paraId="44C3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06C6064C">
            <w:pPr>
              <w:ind w:firstLine="0" w:firstLineChars="0"/>
              <w:rPr>
                <w:bCs/>
                <w:iCs/>
                <w:color w:val="000000"/>
              </w:rPr>
            </w:pPr>
            <w:r>
              <w:rPr>
                <w:bCs/>
                <w:iCs/>
                <w:color w:val="000000"/>
              </w:rPr>
              <w:t>上市公司接待人员姓名</w:t>
            </w: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4870C227">
            <w:pPr>
              <w:spacing w:line="480" w:lineRule="atLeast"/>
              <w:ind w:firstLine="0" w:firstLineChars="0"/>
              <w:rPr>
                <w:bCs/>
                <w:iCs/>
                <w:color w:val="000000"/>
              </w:rPr>
            </w:pPr>
            <w:r>
              <w:rPr>
                <w:bCs/>
                <w:iCs/>
                <w:color w:val="000000"/>
              </w:rPr>
              <w:t>副总经理、董事会秘书  陈江宁</w:t>
            </w:r>
          </w:p>
        </w:tc>
      </w:tr>
      <w:tr w14:paraId="7C7A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CFC99D9">
            <w:pPr>
              <w:ind w:firstLine="0" w:firstLineChars="0"/>
              <w:rPr>
                <w:bCs/>
                <w:iCs/>
                <w:color w:val="000000"/>
              </w:rPr>
            </w:pPr>
            <w:r>
              <w:rPr>
                <w:bCs/>
                <w:iCs/>
                <w:color w:val="000000"/>
              </w:rPr>
              <w:t>投资者关系活动主要内容介绍</w:t>
            </w:r>
          </w:p>
          <w:p w14:paraId="0AFD1296">
            <w:pPr>
              <w:ind w:firstLine="0" w:firstLineChars="0"/>
              <w:rPr>
                <w:bCs/>
                <w:iCs/>
                <w:color w:val="000000"/>
              </w:rPr>
            </w:pP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5EB5C40A">
            <w:pPr>
              <w:ind w:firstLine="482"/>
              <w:rPr>
                <w:rFonts w:hint="default" w:ascii="Times New Roman" w:hAnsi="Times New Roman" w:cs="Times New Roman"/>
                <w:b/>
                <w:iCs/>
              </w:rPr>
            </w:pPr>
            <w:r>
              <w:rPr>
                <w:rFonts w:hint="default" w:ascii="Times New Roman" w:hAnsi="Times New Roman" w:cs="Times New Roman"/>
                <w:b/>
                <w:iCs/>
              </w:rPr>
              <w:t>提问交流</w:t>
            </w:r>
          </w:p>
          <w:p w14:paraId="6549C922">
            <w:pPr>
              <w:rPr>
                <w:rFonts w:hint="eastAsia"/>
                <w:b/>
                <w:bCs/>
              </w:rPr>
            </w:pPr>
            <w:r>
              <w:rPr>
                <w:rFonts w:hint="eastAsia"/>
                <w:b/>
                <w:bCs/>
              </w:rPr>
              <w:t>Q1：公司盆底康复业务的渠道构成？</w:t>
            </w:r>
          </w:p>
          <w:p w14:paraId="22A4DFA7">
            <w:pPr>
              <w:rPr>
                <w:rFonts w:hint="eastAsia"/>
              </w:rPr>
            </w:pPr>
            <w:r>
              <w:rPr>
                <w:rFonts w:hint="eastAsia"/>
              </w:rPr>
              <w:t>公司盆底康复客户群体主要分为院内市场和院外市场，其中院内市场为基本盘，占比约85%以上。院外市场受生育率影响，业务占比有所下滑，但近两年业务体量已基于稳定。</w:t>
            </w:r>
          </w:p>
          <w:p w14:paraId="04BF16A1">
            <w:pPr>
              <w:rPr>
                <w:rFonts w:hint="eastAsia"/>
              </w:rPr>
            </w:pPr>
          </w:p>
          <w:p w14:paraId="7C28B3F9">
            <w:pPr>
              <w:rPr>
                <w:rFonts w:hint="eastAsia"/>
                <w:b/>
                <w:bCs/>
              </w:rPr>
            </w:pPr>
            <w:r>
              <w:rPr>
                <w:rFonts w:hint="eastAsia"/>
                <w:b/>
                <w:bCs/>
              </w:rPr>
              <w:t>Q2：</w:t>
            </w:r>
            <w:r>
              <w:rPr>
                <w:b/>
                <w:bCs/>
              </w:rPr>
              <w:t>康美中心的合作模式？</w:t>
            </w:r>
          </w:p>
          <w:p w14:paraId="0D49F9E3">
            <w:pPr>
              <w:rPr>
                <w:rFonts w:hint="eastAsia"/>
              </w:rPr>
            </w:pPr>
            <w:r>
              <w:rPr>
                <w:rFonts w:hint="eastAsia"/>
              </w:rPr>
              <w:t>康美中心尚处于早期推广阶段，方案也在不断完善中。公司正在部分医院试点，今年核心任务是打造江苏、浙江等地区的样板中心。</w:t>
            </w:r>
          </w:p>
          <w:p w14:paraId="3E7EDCBD">
            <w:pPr>
              <w:rPr>
                <w:rFonts w:hint="eastAsia"/>
              </w:rPr>
            </w:pPr>
          </w:p>
          <w:p w14:paraId="73647B04">
            <w:pPr>
              <w:rPr>
                <w:rFonts w:hint="eastAsia"/>
                <w:b/>
                <w:bCs/>
              </w:rPr>
            </w:pPr>
            <w:r>
              <w:rPr>
                <w:rFonts w:hint="eastAsia"/>
                <w:b/>
                <w:bCs/>
              </w:rPr>
              <w:t>Q3：公司介绍下面部的新品及战略意义</w:t>
            </w:r>
            <w:r>
              <w:rPr>
                <w:b/>
                <w:bCs/>
              </w:rPr>
              <w:t>？</w:t>
            </w:r>
          </w:p>
          <w:p w14:paraId="5663674F">
            <w:pPr>
              <w:rPr>
                <w:rFonts w:hint="eastAsia"/>
              </w:rPr>
            </w:pPr>
            <w:r>
              <w:rPr>
                <w:rFonts w:hint="eastAsia"/>
              </w:rPr>
              <w:t>皮肤领域的加速布局是麦澜德“美”的</w:t>
            </w:r>
            <w:r>
              <w:rPr>
                <w:rFonts w:hint="eastAsia"/>
                <w:lang w:val="en-US" w:eastAsia="zh-CN"/>
              </w:rPr>
              <w:t>战略</w:t>
            </w:r>
            <w:r>
              <w:rPr>
                <w:rFonts w:hint="eastAsia"/>
              </w:rPr>
              <w:t>一环。公司近期上市了两款面部抗衰产品 “缇澜超声刀”和“深澜极塑肌”。这两款产品，</w:t>
            </w:r>
            <w:r>
              <w:t>秉持着 “由内而外” 的核心理念</w:t>
            </w:r>
            <w:r>
              <w:rPr>
                <w:rFonts w:hint="eastAsia"/>
              </w:rPr>
              <w:t>，</w:t>
            </w:r>
            <w:r>
              <w:t>构建起全方位、多层次的全维度抗衰体系，覆盖肌肉层</w:t>
            </w:r>
            <w:r>
              <w:rPr>
                <w:rFonts w:hint="eastAsia"/>
              </w:rPr>
              <w:t>、</w:t>
            </w:r>
            <w:r>
              <w:t>筋膜层以及真皮层</w:t>
            </w:r>
            <w:r>
              <w:rPr>
                <w:rFonts w:hint="eastAsia"/>
              </w:rPr>
              <w:t>，</w:t>
            </w:r>
            <w:r>
              <w:t>为抗衰领域带来革新式的解决方案。</w:t>
            </w:r>
          </w:p>
          <w:p w14:paraId="1CF6AA11">
            <w:pPr>
              <w:rPr>
                <w:rFonts w:hint="eastAsia"/>
              </w:rPr>
            </w:pPr>
          </w:p>
          <w:p w14:paraId="64B558A1">
            <w:pPr>
              <w:rPr>
                <w:rFonts w:hint="eastAsia"/>
                <w:b/>
                <w:bCs/>
              </w:rPr>
            </w:pPr>
            <w:r>
              <w:rPr>
                <w:rFonts w:hint="eastAsia"/>
                <w:b/>
                <w:bCs/>
              </w:rPr>
              <w:t>Q4：公司海外业务侧重哪些产品及未来规划？</w:t>
            </w:r>
          </w:p>
          <w:p w14:paraId="65DF6B34">
            <w:pPr>
              <w:rPr>
                <w:rFonts w:hint="eastAsia"/>
              </w:rPr>
            </w:pPr>
            <w:r>
              <w:rPr>
                <w:rFonts w:ascii="宋体" w:hAnsi="宋体" w:eastAsia="宋体" w:cs="宋体"/>
                <w:sz w:val="24"/>
                <w:szCs w:val="24"/>
              </w:rPr>
              <w:t>公司现阶段优先考虑出海产品要求技术具有普适性强、海外受众基础广泛。</w:t>
            </w:r>
            <w:bookmarkStart w:id="0" w:name="_GoBack"/>
            <w:bookmarkEnd w:id="0"/>
            <w:r>
              <w:rPr>
                <w:rFonts w:ascii="宋体" w:hAnsi="宋体" w:eastAsia="宋体" w:cs="宋体"/>
                <w:sz w:val="24"/>
                <w:szCs w:val="24"/>
              </w:rPr>
              <w:t>盆底康复类设备海外市场认知度存在差异，需要时间去理解和培育。公司短期目标侧重于亚太市场，目前正在东南亚地区推进PI-ONE注册，接下来也会推广PI-ONE的销售。中长期目标从“产品输出”</w:t>
            </w:r>
            <w:r>
              <w:rPr>
                <w:rFonts w:hint="eastAsia" w:ascii="宋体" w:hAnsi="宋体" w:cs="宋体"/>
                <w:sz w:val="24"/>
                <w:szCs w:val="24"/>
                <w:lang w:val="en-US" w:eastAsia="zh-CN"/>
              </w:rPr>
              <w:t>转向</w:t>
            </w:r>
            <w:r>
              <w:rPr>
                <w:rFonts w:ascii="宋体" w:hAnsi="宋体" w:eastAsia="宋体" w:cs="宋体"/>
                <w:sz w:val="24"/>
                <w:szCs w:val="24"/>
              </w:rPr>
              <w:t>“需求驱动</w:t>
            </w:r>
            <w:r>
              <w:rPr>
                <w:rFonts w:hint="eastAsia" w:ascii="宋体" w:hAnsi="宋体" w:cs="宋体"/>
                <w:sz w:val="24"/>
                <w:szCs w:val="24"/>
                <w:lang w:eastAsia="zh-CN"/>
              </w:rPr>
              <w:t>”</w:t>
            </w:r>
            <w:r>
              <w:rPr>
                <w:rFonts w:hint="eastAsia"/>
              </w:rPr>
              <w:t>。</w:t>
            </w:r>
          </w:p>
          <w:p w14:paraId="50373134">
            <w:pPr>
              <w:rPr>
                <w:rFonts w:hint="eastAsia"/>
              </w:rPr>
            </w:pPr>
          </w:p>
          <w:p w14:paraId="4F2EDA51">
            <w:pPr>
              <w:rPr>
                <w:rFonts w:hint="eastAsia"/>
                <w:b/>
                <w:bCs/>
              </w:rPr>
            </w:pPr>
            <w:r>
              <w:rPr>
                <w:rFonts w:hint="eastAsia"/>
                <w:b/>
                <w:bCs/>
              </w:rPr>
              <w:t>Q5：</w:t>
            </w:r>
            <w:r>
              <w:rPr>
                <w:rFonts w:hint="eastAsia"/>
                <w:b/>
                <w:bCs/>
                <w:lang w:val="en-US" w:eastAsia="zh-CN"/>
              </w:rPr>
              <w:t>公司</w:t>
            </w:r>
            <w:r>
              <w:rPr>
                <w:rFonts w:hint="eastAsia"/>
                <w:b/>
                <w:bCs/>
              </w:rPr>
              <w:t>毛利率波动原因及未来趋势？</w:t>
            </w:r>
          </w:p>
          <w:p w14:paraId="44F3BDD7">
            <w:pPr>
              <w:rPr>
                <w:rFonts w:hint="eastAsia"/>
              </w:rPr>
            </w:pPr>
            <w:r>
              <w:rPr>
                <w:rFonts w:hint="eastAsia"/>
              </w:rPr>
              <w:t>公司毛利率下滑原因主要系新产品推广初期，毛利率略低于其他产品所致。随着系统解决方案升级及组合销售策略推进，毛利率有望逐步恢复并稳固。</w:t>
            </w:r>
          </w:p>
          <w:p w14:paraId="0279F488">
            <w:pPr>
              <w:rPr>
                <w:rFonts w:hint="eastAsia"/>
              </w:rPr>
            </w:pPr>
          </w:p>
          <w:p w14:paraId="67E412B2">
            <w:pPr>
              <w:rPr>
                <w:rFonts w:hint="eastAsia"/>
                <w:b/>
                <w:bCs/>
              </w:rPr>
            </w:pPr>
            <w:r>
              <w:rPr>
                <w:rFonts w:hint="eastAsia"/>
                <w:b/>
                <w:bCs/>
              </w:rPr>
              <w:t>Q6：公司未来是否有股权激励规划？</w:t>
            </w:r>
          </w:p>
          <w:p w14:paraId="298E5E11">
            <w:pPr>
              <w:rPr>
                <w:b/>
                <w:iCs/>
                <w:highlight w:val="yellow"/>
              </w:rPr>
            </w:pPr>
            <w:r>
              <w:rPr>
                <w:rFonts w:hint="eastAsia"/>
              </w:rPr>
              <w:t>公司将结合经营实际情况和市场环境审慎考量激励计划的时机和可行性，敬请关注公司后续公告</w:t>
            </w:r>
            <w:r>
              <w:rPr>
                <w:rFonts w:hint="default" w:ascii="宋体"/>
                <w:sz w:val="24"/>
                <w:lang w:val="en-US"/>
              </w:rPr>
              <w:t>。</w:t>
            </w:r>
          </w:p>
        </w:tc>
      </w:tr>
      <w:tr w14:paraId="2C98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7EC3966">
            <w:pPr>
              <w:ind w:firstLine="0" w:firstLineChars="0"/>
              <w:rPr>
                <w:bCs/>
                <w:iCs/>
                <w:color w:val="000000"/>
              </w:rPr>
            </w:pPr>
            <w:r>
              <w:rPr>
                <w:bCs/>
                <w:iCs/>
                <w:color w:val="000000"/>
              </w:rPr>
              <w:t>风险提示</w:t>
            </w: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52892239">
            <w:pPr>
              <w:spacing w:line="480" w:lineRule="atLeast"/>
              <w:ind w:firstLine="480"/>
              <w:rPr>
                <w:bCs/>
                <w:iCs/>
              </w:rPr>
            </w:pPr>
            <w:r>
              <w:rPr>
                <w:bCs/>
                <w:iCs/>
              </w:rPr>
              <w:t>以上如涉及对行业的预测、公司发展战略规划等相关内容，不能视作公司或公司管理层对行业、公司发展或业绩的承诺和保证，敬请广大投资者注意投资风险。</w:t>
            </w:r>
          </w:p>
        </w:tc>
      </w:tr>
      <w:tr w14:paraId="2113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6D09D63">
            <w:pPr>
              <w:ind w:firstLine="0" w:firstLineChars="0"/>
              <w:rPr>
                <w:bCs/>
                <w:iCs/>
                <w:color w:val="000000"/>
              </w:rPr>
            </w:pPr>
            <w:r>
              <w:rPr>
                <w:bCs/>
                <w:iCs/>
                <w:color w:val="000000"/>
              </w:rPr>
              <w:t>是否涉及应当披露重大信息</w:t>
            </w: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3FAE4E0D">
            <w:pPr>
              <w:spacing w:line="480" w:lineRule="atLeast"/>
              <w:ind w:firstLine="0" w:firstLineChars="0"/>
              <w:rPr>
                <w:bCs/>
                <w:iCs/>
              </w:rPr>
            </w:pPr>
            <w:r>
              <w:rPr>
                <w:bCs/>
                <w:iCs/>
              </w:rPr>
              <w:t>否</w:t>
            </w:r>
          </w:p>
        </w:tc>
      </w:tr>
      <w:tr w14:paraId="7747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7CFD1A0">
            <w:pPr>
              <w:ind w:firstLine="0" w:firstLineChars="0"/>
              <w:rPr>
                <w:bCs/>
                <w:iCs/>
                <w:color w:val="000000"/>
              </w:rPr>
            </w:pPr>
            <w:r>
              <w:rPr>
                <w:bCs/>
                <w:iCs/>
                <w:color w:val="000000"/>
              </w:rPr>
              <w:t>日期</w:t>
            </w:r>
          </w:p>
        </w:tc>
        <w:tc>
          <w:tcPr>
            <w:tcW w:w="7025" w:type="dxa"/>
            <w:tcBorders>
              <w:top w:val="single" w:color="auto" w:sz="4" w:space="0"/>
              <w:left w:val="single" w:color="auto" w:sz="4" w:space="0"/>
              <w:bottom w:val="single" w:color="auto" w:sz="4" w:space="0"/>
              <w:right w:val="single" w:color="auto" w:sz="4" w:space="0"/>
            </w:tcBorders>
            <w:shd w:val="clear" w:color="auto" w:fill="auto"/>
            <w:vAlign w:val="center"/>
          </w:tcPr>
          <w:p w14:paraId="118F00A5">
            <w:pPr>
              <w:spacing w:line="240" w:lineRule="auto"/>
              <w:ind w:firstLine="0" w:firstLineChars="0"/>
              <w:rPr>
                <w:bCs/>
                <w:iCs/>
                <w:color w:val="000000"/>
              </w:rPr>
            </w:pPr>
            <w:r>
              <w:rPr>
                <w:bCs/>
                <w:iCs/>
                <w:color w:val="000000"/>
              </w:rPr>
              <w:t>20</w:t>
            </w:r>
            <w:r>
              <w:rPr>
                <w:rFonts w:hint="eastAsia"/>
                <w:bCs/>
                <w:iCs/>
                <w:color w:val="000000"/>
                <w:lang w:val="en-US" w:eastAsia="zh-CN"/>
              </w:rPr>
              <w:t>25</w:t>
            </w:r>
            <w:r>
              <w:rPr>
                <w:bCs/>
                <w:iCs/>
                <w:color w:val="000000"/>
              </w:rPr>
              <w:t>年</w:t>
            </w:r>
            <w:r>
              <w:rPr>
                <w:rFonts w:hint="eastAsia"/>
                <w:bCs/>
                <w:iCs/>
                <w:color w:val="000000"/>
                <w:lang w:val="en-US" w:eastAsia="zh-CN"/>
              </w:rPr>
              <w:t>5</w:t>
            </w:r>
            <w:r>
              <w:rPr>
                <w:bCs/>
                <w:iCs/>
                <w:color w:val="000000"/>
              </w:rPr>
              <w:t>月</w:t>
            </w:r>
            <w:r>
              <w:rPr>
                <w:rFonts w:hint="eastAsia"/>
                <w:bCs/>
                <w:iCs/>
                <w:color w:val="000000"/>
                <w:lang w:val="en-US" w:eastAsia="zh-CN"/>
              </w:rPr>
              <w:t>28</w:t>
            </w:r>
            <w:r>
              <w:rPr>
                <w:bCs/>
                <w:iCs/>
                <w:color w:val="000000"/>
              </w:rPr>
              <w:t>日</w:t>
            </w:r>
          </w:p>
        </w:tc>
      </w:tr>
    </w:tbl>
    <w:p w14:paraId="6A97EA82">
      <w:pPr>
        <w:spacing w:line="240" w:lineRule="auto"/>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DE34C">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364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EA37">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DC77">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95A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16B2">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kMDhiNzAyZGI2YTA4NjZmMTkxM2JiYjNhNDRiZjEifQ=="/>
  </w:docVars>
  <w:rsids>
    <w:rsidRoot w:val="421A00E8"/>
    <w:rsid w:val="00001D2B"/>
    <w:rsid w:val="0000604E"/>
    <w:rsid w:val="0005269E"/>
    <w:rsid w:val="00063468"/>
    <w:rsid w:val="00064FC3"/>
    <w:rsid w:val="00072EC7"/>
    <w:rsid w:val="00077E67"/>
    <w:rsid w:val="00081CA4"/>
    <w:rsid w:val="000966EF"/>
    <w:rsid w:val="000A2D4D"/>
    <w:rsid w:val="000C6D5F"/>
    <w:rsid w:val="000F0489"/>
    <w:rsid w:val="000F72AF"/>
    <w:rsid w:val="001245FA"/>
    <w:rsid w:val="00135185"/>
    <w:rsid w:val="001365C1"/>
    <w:rsid w:val="00155473"/>
    <w:rsid w:val="0015704E"/>
    <w:rsid w:val="0017012E"/>
    <w:rsid w:val="001A5D86"/>
    <w:rsid w:val="001D5C86"/>
    <w:rsid w:val="0021391B"/>
    <w:rsid w:val="00236A00"/>
    <w:rsid w:val="00237E79"/>
    <w:rsid w:val="0024415A"/>
    <w:rsid w:val="00263CFE"/>
    <w:rsid w:val="00270B35"/>
    <w:rsid w:val="0027744C"/>
    <w:rsid w:val="002971E8"/>
    <w:rsid w:val="002A03E5"/>
    <w:rsid w:val="002B06D1"/>
    <w:rsid w:val="002B2A83"/>
    <w:rsid w:val="002B3468"/>
    <w:rsid w:val="002C50F8"/>
    <w:rsid w:val="002D54CE"/>
    <w:rsid w:val="002E7B76"/>
    <w:rsid w:val="003154F4"/>
    <w:rsid w:val="0033461E"/>
    <w:rsid w:val="00351C53"/>
    <w:rsid w:val="0037010F"/>
    <w:rsid w:val="00390192"/>
    <w:rsid w:val="003B34E6"/>
    <w:rsid w:val="003D5FBB"/>
    <w:rsid w:val="003D65A8"/>
    <w:rsid w:val="003F1A1B"/>
    <w:rsid w:val="00401E62"/>
    <w:rsid w:val="00414CC0"/>
    <w:rsid w:val="00485569"/>
    <w:rsid w:val="004C6129"/>
    <w:rsid w:val="004E3520"/>
    <w:rsid w:val="004F40B9"/>
    <w:rsid w:val="00506414"/>
    <w:rsid w:val="005122BC"/>
    <w:rsid w:val="00513A13"/>
    <w:rsid w:val="00537400"/>
    <w:rsid w:val="005829F4"/>
    <w:rsid w:val="005C379B"/>
    <w:rsid w:val="005F3501"/>
    <w:rsid w:val="00603E07"/>
    <w:rsid w:val="00604039"/>
    <w:rsid w:val="006337EB"/>
    <w:rsid w:val="00634A02"/>
    <w:rsid w:val="006436B2"/>
    <w:rsid w:val="00677030"/>
    <w:rsid w:val="0068034F"/>
    <w:rsid w:val="00681A16"/>
    <w:rsid w:val="00681D02"/>
    <w:rsid w:val="006A01B1"/>
    <w:rsid w:val="006A2197"/>
    <w:rsid w:val="006B2597"/>
    <w:rsid w:val="006B2E62"/>
    <w:rsid w:val="006C4658"/>
    <w:rsid w:val="006C4D8B"/>
    <w:rsid w:val="006E790B"/>
    <w:rsid w:val="007262B1"/>
    <w:rsid w:val="007328DC"/>
    <w:rsid w:val="00735407"/>
    <w:rsid w:val="00763270"/>
    <w:rsid w:val="00846FD9"/>
    <w:rsid w:val="0088448D"/>
    <w:rsid w:val="00890DBA"/>
    <w:rsid w:val="008A7CF6"/>
    <w:rsid w:val="008D0FBF"/>
    <w:rsid w:val="008E3C20"/>
    <w:rsid w:val="008F77BB"/>
    <w:rsid w:val="0092118D"/>
    <w:rsid w:val="00926CA1"/>
    <w:rsid w:val="00954A0C"/>
    <w:rsid w:val="009677F3"/>
    <w:rsid w:val="009A2C82"/>
    <w:rsid w:val="009A7DD2"/>
    <w:rsid w:val="009D7198"/>
    <w:rsid w:val="009E2491"/>
    <w:rsid w:val="00A22D29"/>
    <w:rsid w:val="00A26F73"/>
    <w:rsid w:val="00A33EBB"/>
    <w:rsid w:val="00A50F81"/>
    <w:rsid w:val="00A73B84"/>
    <w:rsid w:val="00A76B98"/>
    <w:rsid w:val="00AA021C"/>
    <w:rsid w:val="00AA23FA"/>
    <w:rsid w:val="00AD317C"/>
    <w:rsid w:val="00AD67E0"/>
    <w:rsid w:val="00AE190D"/>
    <w:rsid w:val="00B15B2F"/>
    <w:rsid w:val="00B26E56"/>
    <w:rsid w:val="00B314A3"/>
    <w:rsid w:val="00B367A4"/>
    <w:rsid w:val="00B37457"/>
    <w:rsid w:val="00B87D00"/>
    <w:rsid w:val="00BA4D2D"/>
    <w:rsid w:val="00BE217C"/>
    <w:rsid w:val="00C01893"/>
    <w:rsid w:val="00C34692"/>
    <w:rsid w:val="00C40F6C"/>
    <w:rsid w:val="00C73805"/>
    <w:rsid w:val="00C760B0"/>
    <w:rsid w:val="00C95628"/>
    <w:rsid w:val="00CF0BDA"/>
    <w:rsid w:val="00D010CB"/>
    <w:rsid w:val="00D023E4"/>
    <w:rsid w:val="00D20B7D"/>
    <w:rsid w:val="00D319F9"/>
    <w:rsid w:val="00D36E0D"/>
    <w:rsid w:val="00D64F2C"/>
    <w:rsid w:val="00D65BCC"/>
    <w:rsid w:val="00D867DF"/>
    <w:rsid w:val="00DB467D"/>
    <w:rsid w:val="00DC6DB7"/>
    <w:rsid w:val="00DE305F"/>
    <w:rsid w:val="00DE400C"/>
    <w:rsid w:val="00E06CE8"/>
    <w:rsid w:val="00E10695"/>
    <w:rsid w:val="00E33C86"/>
    <w:rsid w:val="00E46C0D"/>
    <w:rsid w:val="00E655C2"/>
    <w:rsid w:val="00E932C3"/>
    <w:rsid w:val="00EE5002"/>
    <w:rsid w:val="00F50ABE"/>
    <w:rsid w:val="00FD1285"/>
    <w:rsid w:val="01852063"/>
    <w:rsid w:val="02760E3B"/>
    <w:rsid w:val="0321400D"/>
    <w:rsid w:val="036A7762"/>
    <w:rsid w:val="05260C54"/>
    <w:rsid w:val="05DD0407"/>
    <w:rsid w:val="05E337FC"/>
    <w:rsid w:val="069B135D"/>
    <w:rsid w:val="070842DC"/>
    <w:rsid w:val="070A727B"/>
    <w:rsid w:val="0726123E"/>
    <w:rsid w:val="0731192F"/>
    <w:rsid w:val="076F3599"/>
    <w:rsid w:val="086E30CB"/>
    <w:rsid w:val="087D7BFC"/>
    <w:rsid w:val="08C64073"/>
    <w:rsid w:val="08D24321"/>
    <w:rsid w:val="09412D13"/>
    <w:rsid w:val="099B1D4D"/>
    <w:rsid w:val="09D102B6"/>
    <w:rsid w:val="09DF6945"/>
    <w:rsid w:val="09F328D9"/>
    <w:rsid w:val="0A220E20"/>
    <w:rsid w:val="0A4B12B3"/>
    <w:rsid w:val="0AE422C6"/>
    <w:rsid w:val="0B037A92"/>
    <w:rsid w:val="0B7256FC"/>
    <w:rsid w:val="0B8401A9"/>
    <w:rsid w:val="0C660EC7"/>
    <w:rsid w:val="0C7E7C46"/>
    <w:rsid w:val="0CD12600"/>
    <w:rsid w:val="0D2235D4"/>
    <w:rsid w:val="0D5D11BA"/>
    <w:rsid w:val="0DC857B1"/>
    <w:rsid w:val="0DCA3C27"/>
    <w:rsid w:val="0DD81262"/>
    <w:rsid w:val="0E6619A5"/>
    <w:rsid w:val="0ECE7CE8"/>
    <w:rsid w:val="0F1113DA"/>
    <w:rsid w:val="0F5117D6"/>
    <w:rsid w:val="0F7A0F1C"/>
    <w:rsid w:val="0F925474"/>
    <w:rsid w:val="103F5AD3"/>
    <w:rsid w:val="10A312B4"/>
    <w:rsid w:val="10B20618"/>
    <w:rsid w:val="10BB3FD6"/>
    <w:rsid w:val="119500A0"/>
    <w:rsid w:val="11A958FA"/>
    <w:rsid w:val="11B6115E"/>
    <w:rsid w:val="11BA3663"/>
    <w:rsid w:val="11BB562D"/>
    <w:rsid w:val="11C4272D"/>
    <w:rsid w:val="121D3BF2"/>
    <w:rsid w:val="126C4455"/>
    <w:rsid w:val="12F30075"/>
    <w:rsid w:val="138A5F38"/>
    <w:rsid w:val="13DF6C1A"/>
    <w:rsid w:val="13EE43C3"/>
    <w:rsid w:val="15042DCB"/>
    <w:rsid w:val="15154AEF"/>
    <w:rsid w:val="15D90184"/>
    <w:rsid w:val="1635389E"/>
    <w:rsid w:val="16573B76"/>
    <w:rsid w:val="166C5E7A"/>
    <w:rsid w:val="169C5A2D"/>
    <w:rsid w:val="169F376F"/>
    <w:rsid w:val="16CA07EC"/>
    <w:rsid w:val="16D871BB"/>
    <w:rsid w:val="16E42F30"/>
    <w:rsid w:val="16FC7880"/>
    <w:rsid w:val="17EA6C51"/>
    <w:rsid w:val="18000331"/>
    <w:rsid w:val="180876B7"/>
    <w:rsid w:val="18C9566A"/>
    <w:rsid w:val="18DF304D"/>
    <w:rsid w:val="18F845CE"/>
    <w:rsid w:val="192F353E"/>
    <w:rsid w:val="1A13108F"/>
    <w:rsid w:val="1A3F504D"/>
    <w:rsid w:val="1A8769F4"/>
    <w:rsid w:val="1A8F4290"/>
    <w:rsid w:val="1AB82A70"/>
    <w:rsid w:val="1AD86198"/>
    <w:rsid w:val="1B1536CC"/>
    <w:rsid w:val="1BA21994"/>
    <w:rsid w:val="1BAE0248"/>
    <w:rsid w:val="1BE66379"/>
    <w:rsid w:val="1BF537FE"/>
    <w:rsid w:val="1C872CDB"/>
    <w:rsid w:val="1D1F1166"/>
    <w:rsid w:val="1D656D82"/>
    <w:rsid w:val="1D903E12"/>
    <w:rsid w:val="1DC94027"/>
    <w:rsid w:val="1F2305DA"/>
    <w:rsid w:val="1F572E39"/>
    <w:rsid w:val="1F8B2AE2"/>
    <w:rsid w:val="1FDE70B6"/>
    <w:rsid w:val="20C55EE0"/>
    <w:rsid w:val="20D46448"/>
    <w:rsid w:val="2113029B"/>
    <w:rsid w:val="211C60E8"/>
    <w:rsid w:val="21582E98"/>
    <w:rsid w:val="21785046"/>
    <w:rsid w:val="220A2C61"/>
    <w:rsid w:val="220D5A31"/>
    <w:rsid w:val="22A2261D"/>
    <w:rsid w:val="232E4C1A"/>
    <w:rsid w:val="237256DF"/>
    <w:rsid w:val="23C16186"/>
    <w:rsid w:val="243248B3"/>
    <w:rsid w:val="24BA1251"/>
    <w:rsid w:val="25B032A3"/>
    <w:rsid w:val="25F53697"/>
    <w:rsid w:val="271E64A6"/>
    <w:rsid w:val="273D6BFC"/>
    <w:rsid w:val="27C42DE0"/>
    <w:rsid w:val="2875754E"/>
    <w:rsid w:val="28A6330A"/>
    <w:rsid w:val="28F26962"/>
    <w:rsid w:val="29464110"/>
    <w:rsid w:val="296B27BD"/>
    <w:rsid w:val="297C1854"/>
    <w:rsid w:val="29C66496"/>
    <w:rsid w:val="2A6232D9"/>
    <w:rsid w:val="2A9801E3"/>
    <w:rsid w:val="2A9C2048"/>
    <w:rsid w:val="2B8723B0"/>
    <w:rsid w:val="2BCF1785"/>
    <w:rsid w:val="2BD20FFC"/>
    <w:rsid w:val="2BF10937"/>
    <w:rsid w:val="2C0461E6"/>
    <w:rsid w:val="2C1D0DE3"/>
    <w:rsid w:val="2CA66D28"/>
    <w:rsid w:val="2CAE16B2"/>
    <w:rsid w:val="2CD967A8"/>
    <w:rsid w:val="2CF33D99"/>
    <w:rsid w:val="2D502C75"/>
    <w:rsid w:val="2D990AC0"/>
    <w:rsid w:val="2DB96A6D"/>
    <w:rsid w:val="2E0942F9"/>
    <w:rsid w:val="2E615D08"/>
    <w:rsid w:val="2F2D3A13"/>
    <w:rsid w:val="30332B06"/>
    <w:rsid w:val="30616556"/>
    <w:rsid w:val="30F1618A"/>
    <w:rsid w:val="30F751F7"/>
    <w:rsid w:val="313034EA"/>
    <w:rsid w:val="31422069"/>
    <w:rsid w:val="3147705B"/>
    <w:rsid w:val="31F97D80"/>
    <w:rsid w:val="321B062D"/>
    <w:rsid w:val="32A80181"/>
    <w:rsid w:val="32FB4313"/>
    <w:rsid w:val="332A12C2"/>
    <w:rsid w:val="33350C99"/>
    <w:rsid w:val="333F7A14"/>
    <w:rsid w:val="334D4E72"/>
    <w:rsid w:val="33756FB2"/>
    <w:rsid w:val="33E74334"/>
    <w:rsid w:val="33F21F69"/>
    <w:rsid w:val="344D7F0F"/>
    <w:rsid w:val="34A262E1"/>
    <w:rsid w:val="34AB38D1"/>
    <w:rsid w:val="350902DA"/>
    <w:rsid w:val="3538471B"/>
    <w:rsid w:val="35467305"/>
    <w:rsid w:val="35523A2F"/>
    <w:rsid w:val="355359F9"/>
    <w:rsid w:val="360E0311"/>
    <w:rsid w:val="363751AC"/>
    <w:rsid w:val="369B31B3"/>
    <w:rsid w:val="36D641EB"/>
    <w:rsid w:val="36FA722C"/>
    <w:rsid w:val="373C01E0"/>
    <w:rsid w:val="37C02A49"/>
    <w:rsid w:val="38D24DAB"/>
    <w:rsid w:val="393A4F06"/>
    <w:rsid w:val="3A8F302F"/>
    <w:rsid w:val="3AAD79C2"/>
    <w:rsid w:val="3AAF722D"/>
    <w:rsid w:val="3AD663DF"/>
    <w:rsid w:val="3AE74C2D"/>
    <w:rsid w:val="3B0D5063"/>
    <w:rsid w:val="3B947CD8"/>
    <w:rsid w:val="3B9C7819"/>
    <w:rsid w:val="3BDD7DCA"/>
    <w:rsid w:val="3D0929B2"/>
    <w:rsid w:val="3D732DB4"/>
    <w:rsid w:val="3D8B35C2"/>
    <w:rsid w:val="3DEA5509"/>
    <w:rsid w:val="3DFF04CC"/>
    <w:rsid w:val="3EB94B1E"/>
    <w:rsid w:val="3EBC460F"/>
    <w:rsid w:val="3EDE57C4"/>
    <w:rsid w:val="3F010273"/>
    <w:rsid w:val="3F255940"/>
    <w:rsid w:val="3F7942AE"/>
    <w:rsid w:val="3F7E511A"/>
    <w:rsid w:val="3FE21909"/>
    <w:rsid w:val="402204A1"/>
    <w:rsid w:val="404B5A35"/>
    <w:rsid w:val="40AD77A5"/>
    <w:rsid w:val="413A5BBD"/>
    <w:rsid w:val="4191768D"/>
    <w:rsid w:val="41A77371"/>
    <w:rsid w:val="421A00E8"/>
    <w:rsid w:val="428159D7"/>
    <w:rsid w:val="428E5D95"/>
    <w:rsid w:val="42F11136"/>
    <w:rsid w:val="4315253F"/>
    <w:rsid w:val="43282273"/>
    <w:rsid w:val="43963180"/>
    <w:rsid w:val="43B45FE5"/>
    <w:rsid w:val="43C95804"/>
    <w:rsid w:val="44074D8C"/>
    <w:rsid w:val="44316F05"/>
    <w:rsid w:val="44783E70"/>
    <w:rsid w:val="44E74A1A"/>
    <w:rsid w:val="452A17CA"/>
    <w:rsid w:val="45B35CD2"/>
    <w:rsid w:val="46491165"/>
    <w:rsid w:val="46B1257F"/>
    <w:rsid w:val="470E79D1"/>
    <w:rsid w:val="480B792A"/>
    <w:rsid w:val="480C2163"/>
    <w:rsid w:val="48226E12"/>
    <w:rsid w:val="48677399"/>
    <w:rsid w:val="49365ADC"/>
    <w:rsid w:val="498A77E3"/>
    <w:rsid w:val="498B6D54"/>
    <w:rsid w:val="49FF5D06"/>
    <w:rsid w:val="4A275032"/>
    <w:rsid w:val="4A5C671F"/>
    <w:rsid w:val="4A7144FF"/>
    <w:rsid w:val="4A8A4060"/>
    <w:rsid w:val="4B0435C5"/>
    <w:rsid w:val="4B5D2CD5"/>
    <w:rsid w:val="4C0E0F2C"/>
    <w:rsid w:val="4C1C3566"/>
    <w:rsid w:val="4C743C8F"/>
    <w:rsid w:val="4C973DD0"/>
    <w:rsid w:val="4CCE063F"/>
    <w:rsid w:val="4D691D3D"/>
    <w:rsid w:val="4DE34C75"/>
    <w:rsid w:val="4EFA2326"/>
    <w:rsid w:val="4F141C5B"/>
    <w:rsid w:val="4F2A278D"/>
    <w:rsid w:val="4F756840"/>
    <w:rsid w:val="50937738"/>
    <w:rsid w:val="5124051D"/>
    <w:rsid w:val="5191021A"/>
    <w:rsid w:val="51C413B8"/>
    <w:rsid w:val="51D35A9F"/>
    <w:rsid w:val="51DC4954"/>
    <w:rsid w:val="51FD5486"/>
    <w:rsid w:val="52252A8C"/>
    <w:rsid w:val="525B1CAD"/>
    <w:rsid w:val="52696B6E"/>
    <w:rsid w:val="526A31DC"/>
    <w:rsid w:val="533956A0"/>
    <w:rsid w:val="53566988"/>
    <w:rsid w:val="535B607A"/>
    <w:rsid w:val="536D782E"/>
    <w:rsid w:val="53824975"/>
    <w:rsid w:val="53DD0E57"/>
    <w:rsid w:val="546608B4"/>
    <w:rsid w:val="546828EF"/>
    <w:rsid w:val="54893697"/>
    <w:rsid w:val="5658621E"/>
    <w:rsid w:val="565C2507"/>
    <w:rsid w:val="566B7B47"/>
    <w:rsid w:val="5691220A"/>
    <w:rsid w:val="56A33C92"/>
    <w:rsid w:val="57087F99"/>
    <w:rsid w:val="5714693E"/>
    <w:rsid w:val="57482A8C"/>
    <w:rsid w:val="577C4B7A"/>
    <w:rsid w:val="57914433"/>
    <w:rsid w:val="58232D44"/>
    <w:rsid w:val="583B614D"/>
    <w:rsid w:val="583E6D91"/>
    <w:rsid w:val="585202CE"/>
    <w:rsid w:val="5853404D"/>
    <w:rsid w:val="585A2A77"/>
    <w:rsid w:val="58D2085F"/>
    <w:rsid w:val="590F1AB3"/>
    <w:rsid w:val="595F0AA1"/>
    <w:rsid w:val="59802BFB"/>
    <w:rsid w:val="59A82DA4"/>
    <w:rsid w:val="59AD307A"/>
    <w:rsid w:val="5A1B369A"/>
    <w:rsid w:val="5A1F4951"/>
    <w:rsid w:val="5A984EB0"/>
    <w:rsid w:val="5AC06FC6"/>
    <w:rsid w:val="5AD11B61"/>
    <w:rsid w:val="5ADC3C17"/>
    <w:rsid w:val="5B4812AC"/>
    <w:rsid w:val="5B50206A"/>
    <w:rsid w:val="5B8D3163"/>
    <w:rsid w:val="5BB35DCB"/>
    <w:rsid w:val="5BBB382C"/>
    <w:rsid w:val="5BC64C07"/>
    <w:rsid w:val="5BE45F24"/>
    <w:rsid w:val="5BF80DBD"/>
    <w:rsid w:val="5C28646B"/>
    <w:rsid w:val="5C8A31FF"/>
    <w:rsid w:val="5C975B35"/>
    <w:rsid w:val="5CDC2A68"/>
    <w:rsid w:val="5CED69AD"/>
    <w:rsid w:val="5D610403"/>
    <w:rsid w:val="5DB00ACF"/>
    <w:rsid w:val="5DB50BEA"/>
    <w:rsid w:val="5DEF1EB3"/>
    <w:rsid w:val="5F487ACD"/>
    <w:rsid w:val="5FAB3D7E"/>
    <w:rsid w:val="5FC73AE4"/>
    <w:rsid w:val="602A42E4"/>
    <w:rsid w:val="60395C5E"/>
    <w:rsid w:val="60597AB8"/>
    <w:rsid w:val="608C5797"/>
    <w:rsid w:val="60925EB2"/>
    <w:rsid w:val="60CE7B5E"/>
    <w:rsid w:val="61042B59"/>
    <w:rsid w:val="61534507"/>
    <w:rsid w:val="61937245"/>
    <w:rsid w:val="62166177"/>
    <w:rsid w:val="6230178D"/>
    <w:rsid w:val="627A2F3C"/>
    <w:rsid w:val="62954A01"/>
    <w:rsid w:val="62D3168C"/>
    <w:rsid w:val="632F4494"/>
    <w:rsid w:val="634405AB"/>
    <w:rsid w:val="63736738"/>
    <w:rsid w:val="63950E07"/>
    <w:rsid w:val="63A4729C"/>
    <w:rsid w:val="63AB4186"/>
    <w:rsid w:val="643C54C2"/>
    <w:rsid w:val="64A7791B"/>
    <w:rsid w:val="64E72007"/>
    <w:rsid w:val="65081772"/>
    <w:rsid w:val="65130235"/>
    <w:rsid w:val="651359D4"/>
    <w:rsid w:val="656A7A0B"/>
    <w:rsid w:val="65B23EF2"/>
    <w:rsid w:val="65D85B03"/>
    <w:rsid w:val="66372649"/>
    <w:rsid w:val="670071F1"/>
    <w:rsid w:val="674E7C4A"/>
    <w:rsid w:val="67672ABA"/>
    <w:rsid w:val="67965CD2"/>
    <w:rsid w:val="67A96C2F"/>
    <w:rsid w:val="67EA28E8"/>
    <w:rsid w:val="681A3274"/>
    <w:rsid w:val="68352C25"/>
    <w:rsid w:val="683706DE"/>
    <w:rsid w:val="690D65E2"/>
    <w:rsid w:val="692923AE"/>
    <w:rsid w:val="695E6FEA"/>
    <w:rsid w:val="69677B23"/>
    <w:rsid w:val="696D635C"/>
    <w:rsid w:val="69F06698"/>
    <w:rsid w:val="6A7A254F"/>
    <w:rsid w:val="6A8D3E81"/>
    <w:rsid w:val="6AD41B9F"/>
    <w:rsid w:val="6B095ECC"/>
    <w:rsid w:val="6B5B2176"/>
    <w:rsid w:val="6B8660E8"/>
    <w:rsid w:val="6BD24A49"/>
    <w:rsid w:val="6BE4624A"/>
    <w:rsid w:val="6C091C4C"/>
    <w:rsid w:val="6C150AF4"/>
    <w:rsid w:val="6CA67BE1"/>
    <w:rsid w:val="6CD54F42"/>
    <w:rsid w:val="6D13480F"/>
    <w:rsid w:val="6D24268C"/>
    <w:rsid w:val="6E056B89"/>
    <w:rsid w:val="6E565636"/>
    <w:rsid w:val="6E875309"/>
    <w:rsid w:val="6ECC4355"/>
    <w:rsid w:val="6F280D81"/>
    <w:rsid w:val="6F381049"/>
    <w:rsid w:val="6FC8230E"/>
    <w:rsid w:val="6FE8093F"/>
    <w:rsid w:val="700823C4"/>
    <w:rsid w:val="702305E1"/>
    <w:rsid w:val="702932C7"/>
    <w:rsid w:val="7104581E"/>
    <w:rsid w:val="710857EE"/>
    <w:rsid w:val="71D01737"/>
    <w:rsid w:val="71D7083C"/>
    <w:rsid w:val="72694884"/>
    <w:rsid w:val="735D2FC3"/>
    <w:rsid w:val="73C16D4D"/>
    <w:rsid w:val="746A3BCE"/>
    <w:rsid w:val="753D12FE"/>
    <w:rsid w:val="75681C87"/>
    <w:rsid w:val="75871EE4"/>
    <w:rsid w:val="7621378B"/>
    <w:rsid w:val="7626077B"/>
    <w:rsid w:val="76402E45"/>
    <w:rsid w:val="766C59F7"/>
    <w:rsid w:val="768E1E11"/>
    <w:rsid w:val="76BB4FFC"/>
    <w:rsid w:val="773D3837"/>
    <w:rsid w:val="776B5CAF"/>
    <w:rsid w:val="78F12E51"/>
    <w:rsid w:val="799A7812"/>
    <w:rsid w:val="79F20909"/>
    <w:rsid w:val="79FC52E4"/>
    <w:rsid w:val="7A444ABF"/>
    <w:rsid w:val="7A931D3D"/>
    <w:rsid w:val="7AE746E5"/>
    <w:rsid w:val="7AE85672"/>
    <w:rsid w:val="7B986CF0"/>
    <w:rsid w:val="7B9E7A95"/>
    <w:rsid w:val="7C10151B"/>
    <w:rsid w:val="7C1A5EF5"/>
    <w:rsid w:val="7C4411C4"/>
    <w:rsid w:val="7C6B04FF"/>
    <w:rsid w:val="7C6B49A3"/>
    <w:rsid w:val="7DAF5C99"/>
    <w:rsid w:val="7DBB1012"/>
    <w:rsid w:val="7DDA520A"/>
    <w:rsid w:val="7EAA1892"/>
    <w:rsid w:val="7ECC2A49"/>
    <w:rsid w:val="7F087BEA"/>
    <w:rsid w:val="7F405C73"/>
    <w:rsid w:val="7F6148CC"/>
    <w:rsid w:val="7FE5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alloon Text"/>
    <w:basedOn w:val="1"/>
    <w:link w:val="15"/>
    <w:autoRedefine/>
    <w:qFormat/>
    <w:uiPriority w:val="0"/>
    <w:pPr>
      <w:spacing w:line="240" w:lineRule="auto"/>
    </w:pPr>
    <w:rPr>
      <w:sz w:val="18"/>
      <w:szCs w:val="18"/>
    </w:rPr>
  </w:style>
  <w:style w:type="paragraph" w:styleId="4">
    <w:name w:val="footer"/>
    <w:basedOn w:val="1"/>
    <w:link w:val="20"/>
    <w:autoRedefine/>
    <w:qFormat/>
    <w:uiPriority w:val="0"/>
    <w:pPr>
      <w:tabs>
        <w:tab w:val="center" w:pos="4153"/>
        <w:tab w:val="right" w:pos="8306"/>
      </w:tabs>
      <w:snapToGrid w:val="0"/>
      <w:spacing w:line="240" w:lineRule="auto"/>
      <w:jc w:val="left"/>
    </w:pPr>
    <w:rPr>
      <w:sz w:val="18"/>
      <w:szCs w:val="18"/>
    </w:rPr>
  </w:style>
  <w:style w:type="paragraph" w:styleId="5">
    <w:name w:val="header"/>
    <w:basedOn w:val="1"/>
    <w:link w:val="19"/>
    <w:autoRedefine/>
    <w:qFormat/>
    <w:uiPriority w:val="0"/>
    <w:pPr>
      <w:tabs>
        <w:tab w:val="center" w:pos="4153"/>
        <w:tab w:val="right" w:pos="8306"/>
      </w:tabs>
      <w:snapToGrid w:val="0"/>
      <w:spacing w:line="240" w:lineRule="auto"/>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rPr>
  </w:style>
  <w:style w:type="paragraph" w:styleId="7">
    <w:name w:val="Normal (Web)"/>
    <w:basedOn w:val="1"/>
    <w:qFormat/>
    <w:uiPriority w:val="0"/>
    <w:pPr>
      <w:spacing w:beforeAutospacing="1" w:afterAutospacing="1"/>
      <w:jc w:val="left"/>
    </w:pPr>
    <w:rPr>
      <w:kern w:val="0"/>
    </w:rPr>
  </w:style>
  <w:style w:type="paragraph" w:styleId="8">
    <w:name w:val="annotation subject"/>
    <w:basedOn w:val="2"/>
    <w:next w:val="2"/>
    <w:link w:val="17"/>
    <w:autoRedefine/>
    <w:qFormat/>
    <w:uiPriority w:val="0"/>
    <w:rPr>
      <w:b/>
      <w:bCs/>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u w:val="single"/>
    </w:rPr>
  </w:style>
  <w:style w:type="character" w:styleId="14">
    <w:name w:val="annotation reference"/>
    <w:basedOn w:val="11"/>
    <w:autoRedefine/>
    <w:qFormat/>
    <w:uiPriority w:val="0"/>
    <w:rPr>
      <w:sz w:val="21"/>
      <w:szCs w:val="21"/>
    </w:rPr>
  </w:style>
  <w:style w:type="character" w:customStyle="1" w:styleId="15">
    <w:name w:val="批注框文本 Char"/>
    <w:basedOn w:val="11"/>
    <w:link w:val="3"/>
    <w:autoRedefine/>
    <w:qFormat/>
    <w:uiPriority w:val="0"/>
    <w:rPr>
      <w:kern w:val="2"/>
      <w:sz w:val="18"/>
      <w:szCs w:val="18"/>
    </w:rPr>
  </w:style>
  <w:style w:type="character" w:customStyle="1" w:styleId="16">
    <w:name w:val="批注文字 Char"/>
    <w:basedOn w:val="11"/>
    <w:link w:val="2"/>
    <w:autoRedefine/>
    <w:qFormat/>
    <w:uiPriority w:val="0"/>
    <w:rPr>
      <w:kern w:val="2"/>
      <w:sz w:val="24"/>
      <w:szCs w:val="24"/>
    </w:rPr>
  </w:style>
  <w:style w:type="character" w:customStyle="1" w:styleId="17">
    <w:name w:val="批注主题 Char"/>
    <w:basedOn w:val="16"/>
    <w:link w:val="8"/>
    <w:autoRedefine/>
    <w:qFormat/>
    <w:uiPriority w:val="0"/>
    <w:rPr>
      <w:b/>
      <w:bCs/>
      <w:kern w:val="2"/>
      <w:sz w:val="24"/>
      <w:szCs w:val="24"/>
    </w:rPr>
  </w:style>
  <w:style w:type="paragraph" w:customStyle="1" w:styleId="18">
    <w:name w:val="修订1"/>
    <w:autoRedefine/>
    <w:hidden/>
    <w:semiHidden/>
    <w:qFormat/>
    <w:uiPriority w:val="99"/>
    <w:rPr>
      <w:rFonts w:ascii="Times New Roman" w:hAnsi="Times New Roman" w:eastAsia="宋体" w:cs="Times New Roman"/>
      <w:kern w:val="2"/>
      <w:sz w:val="24"/>
      <w:szCs w:val="24"/>
      <w:lang w:val="en-US" w:eastAsia="zh-CN" w:bidi="ar-SA"/>
    </w:rPr>
  </w:style>
  <w:style w:type="character" w:customStyle="1" w:styleId="19">
    <w:name w:val="页眉 Char"/>
    <w:basedOn w:val="11"/>
    <w:link w:val="5"/>
    <w:autoRedefine/>
    <w:qFormat/>
    <w:uiPriority w:val="0"/>
    <w:rPr>
      <w:kern w:val="2"/>
      <w:sz w:val="18"/>
      <w:szCs w:val="18"/>
    </w:rPr>
  </w:style>
  <w:style w:type="character" w:customStyle="1" w:styleId="20">
    <w:name w:val="页脚 Char"/>
    <w:basedOn w:val="11"/>
    <w:link w:val="4"/>
    <w:autoRedefine/>
    <w:qFormat/>
    <w:uiPriority w:val="0"/>
    <w:rPr>
      <w:kern w:val="2"/>
      <w:sz w:val="18"/>
      <w:szCs w:val="18"/>
    </w:rPr>
  </w:style>
  <w:style w:type="paragraph" w:customStyle="1" w:styleId="21">
    <w:name w:val="修订2"/>
    <w:autoRedefine/>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31FE-9A9D-43FF-BEEE-ADBB9C2E6DF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922</Words>
  <Characters>959</Characters>
  <Lines>11</Lines>
  <Paragraphs>3</Paragraphs>
  <TotalTime>38</TotalTime>
  <ScaleCrop>false</ScaleCrop>
  <LinksUpToDate>false</LinksUpToDate>
  <CharactersWithSpaces>1083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2024-01-02T06:49:00Z</dcterms:created>
  <dc:creator>倪清清</dc:creator>
  <cp:lastModifiedBy>微明</cp:lastModifiedBy>
  <cp:lastPrinted>2024-01-02T06:55:00Z</cp:lastPrinted>
  <dcterms:modified xsi:type="dcterms:W3CDTF">2025-05-29T09:14:43Z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F514B4D6229B403DB5A174E12533586C_13</vt:lpwstr>
  </property>
  <property fmtid="{D5CDD505-2E9C-101B-9397-08002B2CF9AE}" pid="4" name="KSOTemplateDocerSaveRecord">
    <vt:lpwstr>eyJoZGlkIjoiMmRkZjAyNGEyMzdiZTVmNjQ5NDFiZTdlNGI2ZmFlOWYiLCJ1c2VySWQiOiIzMTI5NDEyOTUifQ==</vt:lpwstr>
  </property>
</Properties>
</file>