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BC30" w14:textId="6B39702A" w:rsidR="00ED79BD" w:rsidRPr="004810FC" w:rsidRDefault="00C436A7">
      <w:pPr>
        <w:spacing w:line="360" w:lineRule="auto"/>
        <w:jc w:val="center"/>
        <w:rPr>
          <w:rFonts w:eastAsiaTheme="minorEastAsia"/>
          <w:bCs/>
          <w:iCs/>
          <w:color w:val="000000"/>
          <w:sz w:val="32"/>
          <w:szCs w:val="40"/>
        </w:rPr>
      </w:pPr>
      <w:r>
        <w:rPr>
          <w:rFonts w:eastAsiaTheme="minorEastAsia" w:hint="eastAsia"/>
          <w:bCs/>
          <w:iCs/>
          <w:color w:val="000000"/>
          <w:sz w:val="32"/>
          <w:szCs w:val="40"/>
        </w:rPr>
        <w:t>包头天和磁材科技股份有限公司</w:t>
      </w:r>
    </w:p>
    <w:p w14:paraId="7F7469DB" w14:textId="77777777" w:rsidR="00ED79BD" w:rsidRPr="004810FC" w:rsidRDefault="00000000">
      <w:pPr>
        <w:spacing w:line="360" w:lineRule="auto"/>
        <w:jc w:val="center"/>
        <w:rPr>
          <w:rFonts w:eastAsiaTheme="minorEastAsia"/>
          <w:bCs/>
          <w:iCs/>
          <w:color w:val="000000"/>
          <w:sz w:val="32"/>
          <w:szCs w:val="40"/>
        </w:rPr>
      </w:pPr>
      <w:r w:rsidRPr="004810FC">
        <w:rPr>
          <w:rFonts w:eastAsiaTheme="minorEastAsia"/>
          <w:bCs/>
          <w:iCs/>
          <w:color w:val="000000"/>
          <w:sz w:val="32"/>
          <w:szCs w:val="40"/>
        </w:rPr>
        <w:t>投资者关系活动记录表</w:t>
      </w:r>
    </w:p>
    <w:p w14:paraId="300DF078" w14:textId="6817840D" w:rsidR="00ED79BD" w:rsidRPr="004810FC" w:rsidRDefault="00000000">
      <w:pPr>
        <w:spacing w:line="360" w:lineRule="auto"/>
        <w:jc w:val="right"/>
        <w:rPr>
          <w:rFonts w:eastAsiaTheme="minorEastAsia"/>
          <w:bCs/>
          <w:iCs/>
          <w:color w:val="000000"/>
          <w:sz w:val="22"/>
          <w:szCs w:val="28"/>
        </w:rPr>
      </w:pPr>
      <w:r w:rsidRPr="004810FC">
        <w:rPr>
          <w:rFonts w:eastAsiaTheme="minorEastAsia"/>
          <w:bCs/>
          <w:iCs/>
          <w:color w:val="000000"/>
          <w:sz w:val="22"/>
          <w:szCs w:val="28"/>
        </w:rPr>
        <w:t xml:space="preserve">                                                  </w:t>
      </w:r>
      <w:r w:rsidRPr="004810FC">
        <w:rPr>
          <w:rFonts w:eastAsiaTheme="minorEastAsia"/>
          <w:bCs/>
          <w:iCs/>
          <w:color w:val="000000"/>
          <w:sz w:val="22"/>
          <w:szCs w:val="28"/>
        </w:rPr>
        <w:t>编号：</w:t>
      </w:r>
      <w:r w:rsidR="00C436A7">
        <w:rPr>
          <w:rFonts w:eastAsiaTheme="minorEastAsia" w:hint="eastAsia"/>
          <w:bCs/>
          <w:iCs/>
          <w:color w:val="000000"/>
          <w:sz w:val="22"/>
          <w:szCs w:val="28"/>
        </w:rPr>
        <w:t>2025</w:t>
      </w:r>
      <w:r w:rsidR="00D67BB9">
        <w:rPr>
          <w:rFonts w:eastAsiaTheme="minorEastAsia" w:hint="eastAsia"/>
          <w:bCs/>
          <w:iCs/>
          <w:color w:val="000000"/>
          <w:sz w:val="22"/>
          <w:szCs w:val="28"/>
        </w:rPr>
        <w:t>-0</w:t>
      </w:r>
      <w:r w:rsidR="00EB4FB9">
        <w:rPr>
          <w:rFonts w:eastAsiaTheme="minorEastAsia" w:hint="eastAsia"/>
          <w:bCs/>
          <w:iCs/>
          <w:color w:val="000000"/>
          <w:sz w:val="22"/>
          <w:szCs w:val="28"/>
        </w:rPr>
        <w:t>2</w:t>
      </w:r>
    </w:p>
    <w:tbl>
      <w:tblPr>
        <w:tblW w:w="5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089"/>
      </w:tblGrid>
      <w:tr w:rsidR="00ED79BD" w:rsidRPr="004810FC" w14:paraId="2266C2F8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374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B5E6409" w14:textId="77777777" w:rsidR="00ED79BD" w:rsidRPr="004810FC" w:rsidRDefault="00ED79B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7E45" w14:textId="424CBD43" w:rsidR="00ED79BD" w:rsidRPr="004810FC" w:rsidRDefault="00EB4FB9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特定对象调研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B56BFE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56BFE"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56BFE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5268DE1A" w14:textId="632E4495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bookmarkStart w:id="0" w:name="OLE_LINK1"/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0"/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媒体采访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B4FB9"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sym w:font="Wingdings 2" w:char="F052"/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1C1D7EC3" w14:textId="7E7C9003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新闻发布会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15286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294C739" w14:textId="3A9077FC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现场参观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10AB9B05" w14:textId="1BC82D7E" w:rsidR="00ED79BD" w:rsidRPr="004810FC" w:rsidRDefault="00B56BF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B56BFE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其他（</w:t>
            </w:r>
            <w:r w:rsidR="00101F48" w:rsidRPr="00101F48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请文字说明其他活动内容</w:t>
            </w: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ED79BD" w:rsidRPr="004810FC" w14:paraId="0F7970E5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67C1" w14:textId="3CACA0EE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31C8" w14:textId="67DCE72D" w:rsidR="00ED79BD" w:rsidRPr="00EB4FB9" w:rsidRDefault="00EB4FB9" w:rsidP="00A6326E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EB4FB9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线上参与</w:t>
            </w:r>
            <w:r w:rsidR="00AB6F90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973E23" w:rsidRPr="00973E2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2024</w:t>
            </w:r>
            <w:r w:rsidR="00973E23" w:rsidRPr="00973E2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年度暨</w:t>
            </w:r>
            <w:r w:rsidR="00973E23" w:rsidRPr="00973E2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973E23" w:rsidRPr="00973E23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年第一季度业绩说明会</w:t>
            </w:r>
            <w:r w:rsidRPr="00EB4FB9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的投资者</w:t>
            </w:r>
          </w:p>
        </w:tc>
      </w:tr>
      <w:tr w:rsidR="00ED79BD" w:rsidRPr="004810FC" w14:paraId="0E6AB2F7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AD40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4298" w14:textId="0481625B" w:rsidR="00ED79BD" w:rsidRPr="004810FC" w:rsidRDefault="00C436A7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EB4FB9">
              <w:rPr>
                <w:rFonts w:eastAsiaTheme="minorEastAsia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EB4FB9">
              <w:rPr>
                <w:rFonts w:eastAsiaTheme="minorEastAsia" w:hint="eastAsia"/>
                <w:bCs/>
                <w:iCs/>
                <w:sz w:val="24"/>
                <w:szCs w:val="24"/>
              </w:rPr>
              <w:t>30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ED79BD" w:rsidRPr="004810FC" w14:paraId="04DAEB94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56DE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1C6" w14:textId="681E9CDD" w:rsidR="00ED79BD" w:rsidRPr="000C6659" w:rsidRDefault="00AB6F90">
            <w:pPr>
              <w:spacing w:line="360" w:lineRule="auto"/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</w:pPr>
            <w:r w:rsidRPr="00AB6F90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上证路演中心（</w:t>
            </w:r>
            <w:r w:rsidRPr="00AB6F90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http://roadshow.sseinfo.com/</w:t>
            </w:r>
            <w:r w:rsidRPr="00AB6F90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ED79BD" w:rsidRPr="004810FC" w14:paraId="13DECDFC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4DA7" w14:textId="77777777" w:rsidR="00ED79BD" w:rsidRPr="004810FC" w:rsidRDefault="0000000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A37" w14:textId="66782B4F" w:rsidR="000C6659" w:rsidRDefault="00C436A7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董事、</w:t>
            </w:r>
            <w:r w:rsidR="000C6659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总经理：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陈雅</w:t>
            </w:r>
          </w:p>
          <w:p w14:paraId="744F8B96" w14:textId="2AAB01F0" w:rsidR="00AB6F90" w:rsidRDefault="00AB6F9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董事、副总经理：袁易</w:t>
            </w:r>
          </w:p>
          <w:p w14:paraId="0A9EC374" w14:textId="6BBE0841" w:rsidR="000C6659" w:rsidRDefault="000C6659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董事、财务总监</w:t>
            </w:r>
            <w:r w:rsidR="00C436A7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、董事会秘书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C436A7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张海潮</w:t>
            </w:r>
          </w:p>
          <w:p w14:paraId="6A8BE50B" w14:textId="78916DDE" w:rsidR="00BA2BDA" w:rsidRPr="004810FC" w:rsidRDefault="00AB6F90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独立董事</w:t>
            </w:r>
            <w:r w:rsidR="00BA2BDA"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朱震宇</w:t>
            </w:r>
          </w:p>
        </w:tc>
      </w:tr>
      <w:tr w:rsidR="00782C0D" w:rsidRPr="004810FC" w14:paraId="5546492F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011B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6C69" w14:textId="426B146A" w:rsidR="00152863" w:rsidRPr="001F5EB4" w:rsidRDefault="00152863" w:rsidP="001F5E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F5EB4">
              <w:rPr>
                <w:b/>
                <w:bCs/>
                <w:sz w:val="24"/>
                <w:szCs w:val="24"/>
              </w:rPr>
              <w:t>回复投资者的主要问题</w:t>
            </w:r>
            <w:r w:rsidR="001F5EB4" w:rsidRPr="001F5EB4">
              <w:rPr>
                <w:b/>
                <w:bCs/>
                <w:sz w:val="24"/>
                <w:szCs w:val="24"/>
              </w:rPr>
              <w:t>：</w:t>
            </w:r>
          </w:p>
          <w:p w14:paraId="543269EE" w14:textId="0B17D991" w:rsidR="001F5EB4" w:rsidRPr="001F5EB4" w:rsidRDefault="00EA1BC5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  <w:szCs w:val="24"/>
              </w:rPr>
              <w:t>1</w:t>
            </w:r>
            <w:r w:rsidRPr="001F5EB4">
              <w:rPr>
                <w:b/>
                <w:bCs/>
                <w:sz w:val="24"/>
                <w:szCs w:val="24"/>
              </w:rPr>
              <w:t>、</w:t>
            </w:r>
            <w:r w:rsidR="001F5EB4" w:rsidRPr="001F5EB4">
              <w:rPr>
                <w:b/>
                <w:bCs/>
                <w:sz w:val="24"/>
              </w:rPr>
              <w:t>你们行业本期整体业绩怎么样？你们跟其他公司比如何？</w:t>
            </w:r>
          </w:p>
          <w:p w14:paraId="2D169F43" w14:textId="510ADA25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年度，稀土原材料价格下降叠加行业内竞争加剧，面对复杂的经营环境，公司通过</w:t>
            </w:r>
            <w:r w:rsidRPr="001F5EB4">
              <w:rPr>
                <w:sz w:val="24"/>
              </w:rPr>
              <w:t>“</w:t>
            </w:r>
            <w:r w:rsidRPr="001F5EB4">
              <w:rPr>
                <w:sz w:val="24"/>
              </w:rPr>
              <w:t>三个坚持</w:t>
            </w:r>
            <w:r w:rsidRPr="001F5EB4">
              <w:rPr>
                <w:sz w:val="24"/>
              </w:rPr>
              <w:t>”</w:t>
            </w:r>
            <w:r w:rsidRPr="001F5EB4">
              <w:rPr>
                <w:sz w:val="24"/>
              </w:rPr>
              <w:t>战略应对挑战，即坚持技术研发驱动、坚持高端市场定位、坚持智能生产管理，在核心业务领域实现关键突破。公司始终如一专注于主营业务，夯实日常经营管理，持续研发，优化成本，按照</w:t>
            </w:r>
            <w:r w:rsidRPr="001F5EB4">
              <w:rPr>
                <w:sz w:val="24"/>
              </w:rPr>
              <w:t>“</w:t>
            </w:r>
            <w:r w:rsidRPr="001F5EB4">
              <w:rPr>
                <w:sz w:val="24"/>
              </w:rPr>
              <w:t>三个坚持</w:t>
            </w:r>
            <w:r w:rsidRPr="001F5EB4">
              <w:rPr>
                <w:sz w:val="24"/>
              </w:rPr>
              <w:t>”</w:t>
            </w:r>
            <w:r w:rsidRPr="001F5EB4">
              <w:rPr>
                <w:sz w:val="24"/>
              </w:rPr>
              <w:t>战略，积极稳健地开展经营活动，在新能源汽车及汽车零部件、风力发电、节能家电、</w:t>
            </w:r>
            <w:r w:rsidRPr="001F5EB4">
              <w:rPr>
                <w:sz w:val="24"/>
              </w:rPr>
              <w:t>3C</w:t>
            </w:r>
            <w:r w:rsidRPr="001F5EB4">
              <w:rPr>
                <w:sz w:val="24"/>
              </w:rPr>
              <w:t>消费电子等领域取得了稳步的发展。在经营指标方面，公司实现三大结构性变化：</w:t>
            </w:r>
            <w:r w:rsidRPr="001F5EB4">
              <w:rPr>
                <w:sz w:val="24"/>
              </w:rPr>
              <w:t>1</w:t>
            </w:r>
            <w:r w:rsidRPr="001F5EB4">
              <w:rPr>
                <w:sz w:val="24"/>
              </w:rPr>
              <w:t>、产能规模突破：公司已形成年产</w:t>
            </w:r>
            <w:r w:rsidRPr="001F5EB4">
              <w:rPr>
                <w:sz w:val="24"/>
              </w:rPr>
              <w:t>9,300</w:t>
            </w:r>
            <w:r w:rsidRPr="001F5EB4">
              <w:rPr>
                <w:sz w:val="24"/>
              </w:rPr>
              <w:t>吨高性能稀土永磁材料生产能力，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年度，毛坯产量</w:t>
            </w:r>
            <w:r w:rsidRPr="001F5EB4">
              <w:rPr>
                <w:sz w:val="24"/>
              </w:rPr>
              <w:t>10,355</w:t>
            </w:r>
            <w:r w:rsidRPr="001F5EB4">
              <w:rPr>
                <w:sz w:val="24"/>
              </w:rPr>
              <w:t>吨创历史新高，同比增长</w:t>
            </w:r>
            <w:r w:rsidRPr="001F5EB4">
              <w:rPr>
                <w:sz w:val="24"/>
              </w:rPr>
              <w:t>23.51%</w:t>
            </w:r>
            <w:r w:rsidRPr="001F5EB4">
              <w:rPr>
                <w:sz w:val="24"/>
              </w:rPr>
              <w:t>；</w:t>
            </w:r>
            <w:r w:rsidRPr="001F5EB4">
              <w:rPr>
                <w:sz w:val="24"/>
              </w:rPr>
              <w:t>2</w:t>
            </w:r>
            <w:r w:rsidRPr="001F5EB4">
              <w:rPr>
                <w:sz w:val="24"/>
              </w:rPr>
              <w:t>、产品结构优化：新能源汽车及零部件业务营收为</w:t>
            </w:r>
            <w:r w:rsidRPr="001F5EB4">
              <w:rPr>
                <w:sz w:val="24"/>
              </w:rPr>
              <w:t>164,143.96</w:t>
            </w:r>
            <w:r w:rsidRPr="001F5EB4">
              <w:rPr>
                <w:sz w:val="24"/>
              </w:rPr>
              <w:t>万元，占营业收入</w:t>
            </w:r>
            <w:r w:rsidRPr="001F5EB4">
              <w:rPr>
                <w:sz w:val="24"/>
              </w:rPr>
              <w:t>63.38%</w:t>
            </w:r>
            <w:r w:rsidRPr="001F5EB4">
              <w:rPr>
                <w:sz w:val="24"/>
              </w:rPr>
              <w:t>，同比增长</w:t>
            </w:r>
            <w:r w:rsidRPr="001F5EB4">
              <w:rPr>
                <w:sz w:val="24"/>
              </w:rPr>
              <w:t>6.09%</w:t>
            </w:r>
            <w:r w:rsidRPr="001F5EB4">
              <w:rPr>
                <w:sz w:val="24"/>
              </w:rPr>
              <w:t>，有效对冲传统领域下滑；</w:t>
            </w:r>
            <w:r w:rsidRPr="001F5EB4">
              <w:rPr>
                <w:sz w:val="24"/>
              </w:rPr>
              <w:t>3</w:t>
            </w:r>
            <w:r w:rsidRPr="001F5EB4">
              <w:rPr>
                <w:sz w:val="24"/>
              </w:rPr>
              <w:t>、技术储备增强：截至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年年底，公司拥</w:t>
            </w:r>
            <w:r w:rsidRPr="001F5EB4">
              <w:rPr>
                <w:sz w:val="24"/>
              </w:rPr>
              <w:lastRenderedPageBreak/>
              <w:t>有授权专利</w:t>
            </w:r>
            <w:r w:rsidRPr="001F5EB4">
              <w:rPr>
                <w:sz w:val="24"/>
              </w:rPr>
              <w:t>107</w:t>
            </w:r>
            <w:r w:rsidRPr="001F5EB4">
              <w:rPr>
                <w:sz w:val="24"/>
              </w:rPr>
              <w:t>项，其中欧洲、日本、美国等国家和地区</w:t>
            </w:r>
            <w:r w:rsidRPr="001F5EB4">
              <w:rPr>
                <w:sz w:val="24"/>
              </w:rPr>
              <w:t>48</w:t>
            </w:r>
            <w:r w:rsidRPr="001F5EB4">
              <w:rPr>
                <w:sz w:val="24"/>
              </w:rPr>
              <w:t>项，国内</w:t>
            </w:r>
            <w:r w:rsidRPr="001F5EB4">
              <w:rPr>
                <w:sz w:val="24"/>
              </w:rPr>
              <w:t>59</w:t>
            </w:r>
            <w:r w:rsidRPr="001F5EB4">
              <w:rPr>
                <w:sz w:val="24"/>
              </w:rPr>
              <w:t>项。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年，公司实现销售收入</w:t>
            </w:r>
            <w:r w:rsidRPr="001F5EB4">
              <w:rPr>
                <w:sz w:val="24"/>
              </w:rPr>
              <w:t>258,970.51</w:t>
            </w:r>
            <w:r w:rsidRPr="001F5EB4">
              <w:rPr>
                <w:sz w:val="24"/>
              </w:rPr>
              <w:t>万元，较上年的</w:t>
            </w:r>
            <w:r w:rsidRPr="001F5EB4">
              <w:rPr>
                <w:sz w:val="24"/>
              </w:rPr>
              <w:t>265,134.17</w:t>
            </w:r>
            <w:r w:rsidRPr="001F5EB4">
              <w:rPr>
                <w:sz w:val="24"/>
              </w:rPr>
              <w:t>万元减少了</w:t>
            </w:r>
            <w:r w:rsidRPr="001F5EB4">
              <w:rPr>
                <w:sz w:val="24"/>
              </w:rPr>
              <w:t>6,163.66</w:t>
            </w:r>
            <w:r w:rsidRPr="001F5EB4">
              <w:rPr>
                <w:sz w:val="24"/>
              </w:rPr>
              <w:t>万元，下降</w:t>
            </w:r>
            <w:r w:rsidRPr="001F5EB4">
              <w:rPr>
                <w:sz w:val="24"/>
              </w:rPr>
              <w:t>2.32%</w:t>
            </w:r>
            <w:r w:rsidRPr="001F5EB4">
              <w:rPr>
                <w:sz w:val="24"/>
              </w:rPr>
              <w:t>。谢谢您的关注！</w:t>
            </w:r>
          </w:p>
          <w:p w14:paraId="57E891F9" w14:textId="20FAF3C3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2</w:t>
            </w:r>
            <w:r w:rsidRPr="001F5EB4">
              <w:rPr>
                <w:b/>
                <w:bCs/>
                <w:sz w:val="24"/>
              </w:rPr>
              <w:t>、</w:t>
            </w:r>
            <w:r w:rsidRPr="001F5EB4">
              <w:rPr>
                <w:b/>
                <w:bCs/>
                <w:sz w:val="24"/>
              </w:rPr>
              <w:t>2025</w:t>
            </w:r>
            <w:r w:rsidRPr="001F5EB4">
              <w:rPr>
                <w:b/>
                <w:bCs/>
                <w:sz w:val="24"/>
              </w:rPr>
              <w:t>年第一季度产品出货量较去年同期的变化情况如何？</w:t>
            </w:r>
          </w:p>
          <w:p w14:paraId="1034E5FC" w14:textId="79F5CBE4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2025</w:t>
            </w:r>
            <w:r w:rsidRPr="001F5EB4">
              <w:rPr>
                <w:sz w:val="24"/>
              </w:rPr>
              <w:t>年第一季度产品出货量较去年同期未发生重大变化，基本保持稳定。谢谢您的关注！</w:t>
            </w:r>
          </w:p>
          <w:p w14:paraId="5867B6EF" w14:textId="429372BC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3</w:t>
            </w:r>
            <w:r w:rsidRPr="001F5EB4">
              <w:rPr>
                <w:b/>
                <w:bCs/>
                <w:sz w:val="24"/>
              </w:rPr>
              <w:t>、请问公司和金力永磁的差距！公司的利润增长点？</w:t>
            </w:r>
          </w:p>
          <w:p w14:paraId="1DE1C61E" w14:textId="258B7367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未来，公司将继续坚持技术研发驱动、坚持高端市场定位、坚持智能生产管理，在核心业务领域实现关键突破。</w:t>
            </w:r>
            <w:r w:rsidRPr="001F5EB4">
              <w:rPr>
                <w:sz w:val="24"/>
              </w:rPr>
              <w:t>1</w:t>
            </w:r>
            <w:r w:rsidRPr="001F5EB4">
              <w:rPr>
                <w:sz w:val="24"/>
              </w:rPr>
              <w:t>、持续加强研发驱动，不断优化成本，满足市场需求；</w:t>
            </w:r>
            <w:r w:rsidRPr="001F5EB4">
              <w:rPr>
                <w:sz w:val="24"/>
              </w:rPr>
              <w:t>2</w:t>
            </w:r>
            <w:r w:rsidRPr="001F5EB4">
              <w:rPr>
                <w:sz w:val="24"/>
              </w:rPr>
              <w:t>、坚持高端市场定位，提升细分市场占有率，推进新客户新市场的开发；</w:t>
            </w:r>
            <w:r w:rsidRPr="001F5EB4">
              <w:rPr>
                <w:sz w:val="24"/>
              </w:rPr>
              <w:t>3</w:t>
            </w:r>
            <w:r w:rsidRPr="001F5EB4">
              <w:rPr>
                <w:sz w:val="24"/>
              </w:rPr>
              <w:t>、坚持智能生产管理，持续提升管理和信息化建设水平；</w:t>
            </w:r>
            <w:r w:rsidRPr="001F5EB4">
              <w:rPr>
                <w:sz w:val="24"/>
              </w:rPr>
              <w:t>4</w:t>
            </w:r>
            <w:r w:rsidRPr="001F5EB4">
              <w:rPr>
                <w:sz w:val="24"/>
              </w:rPr>
              <w:t>、积极推进和完善</w:t>
            </w:r>
            <w:r w:rsidRPr="001F5EB4">
              <w:rPr>
                <w:sz w:val="24"/>
              </w:rPr>
              <w:t>ESG</w:t>
            </w:r>
            <w:r w:rsidRPr="001F5EB4">
              <w:rPr>
                <w:sz w:val="24"/>
              </w:rPr>
              <w:t>可持续发展工作；</w:t>
            </w:r>
            <w:r w:rsidRPr="001F5EB4">
              <w:rPr>
                <w:sz w:val="24"/>
              </w:rPr>
              <w:t>5</w:t>
            </w:r>
            <w:r w:rsidRPr="001F5EB4">
              <w:rPr>
                <w:sz w:val="24"/>
              </w:rPr>
              <w:t>、稳步推进募投项目达产，进一步释放产能，推动业绩稳健增长。与此同时，人形机器人将是未来钕铁硼磁组件重要的需求增长点，得益于公司的提前布局及技术积累，</w:t>
            </w:r>
            <w:r w:rsidRPr="001F5EB4">
              <w:rPr>
                <w:sz w:val="24"/>
              </w:rPr>
              <w:t>2025</w:t>
            </w:r>
            <w:r w:rsidRPr="001F5EB4">
              <w:rPr>
                <w:sz w:val="24"/>
              </w:rPr>
              <w:t>年公司将努力开发包括人形机器人在内的高端领域的优质客户，为公司未来的健康持续发展奠定良好的基础。谢谢您的关注！</w:t>
            </w:r>
          </w:p>
          <w:p w14:paraId="797A37D3" w14:textId="3E58C58F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4</w:t>
            </w:r>
            <w:r w:rsidRPr="001F5EB4">
              <w:rPr>
                <w:b/>
                <w:bCs/>
                <w:sz w:val="24"/>
              </w:rPr>
              <w:t>、行业以后的发展前景怎样？</w:t>
            </w:r>
          </w:p>
          <w:p w14:paraId="60BC8C11" w14:textId="5EC9117D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稀土永磁材料行业的产业链由上游稀土行业、中游稀土永磁材料行业，以及下游主要终端应用领域组成。上游稀土行业通过对稀土进行开采、冶炼和分离，产出稀土金属、稀土氧化物等制备稀土功能材料所需的原材料。产业链下游主要包括新能源汽车、风力发电、节能家电、</w:t>
            </w:r>
            <w:r w:rsidRPr="001F5EB4">
              <w:rPr>
                <w:sz w:val="24"/>
              </w:rPr>
              <w:t>3C</w:t>
            </w:r>
            <w:r w:rsidRPr="001F5EB4">
              <w:rPr>
                <w:sz w:val="24"/>
              </w:rPr>
              <w:t>消费电子、机器人、轨道交通等领域。下游市场不断扩张将进一步带动稀土永磁材料需求量持续攀升。谢谢您的关注！</w:t>
            </w:r>
          </w:p>
          <w:p w14:paraId="3C56501A" w14:textId="43AA0C49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5</w:t>
            </w:r>
            <w:r w:rsidRPr="001F5EB4">
              <w:rPr>
                <w:b/>
                <w:bCs/>
                <w:sz w:val="24"/>
              </w:rPr>
              <w:t>、公司之后的盈利有什么增长点？</w:t>
            </w:r>
          </w:p>
          <w:p w14:paraId="564BCCD0" w14:textId="346EC806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1</w:t>
            </w:r>
            <w:r w:rsidRPr="001F5EB4">
              <w:rPr>
                <w:sz w:val="24"/>
              </w:rPr>
              <w:t>、持续加强研发驱动，不断优化成本，满足市场需求；</w:t>
            </w:r>
            <w:r w:rsidRPr="001F5EB4">
              <w:rPr>
                <w:sz w:val="24"/>
              </w:rPr>
              <w:t>2</w:t>
            </w:r>
            <w:r w:rsidRPr="001F5EB4">
              <w:rPr>
                <w:sz w:val="24"/>
              </w:rPr>
              <w:t>、坚持高端市场定位，提升细分市场占有率，推进新客户新市场的开发；</w:t>
            </w:r>
            <w:r w:rsidRPr="001F5EB4">
              <w:rPr>
                <w:sz w:val="24"/>
              </w:rPr>
              <w:lastRenderedPageBreak/>
              <w:t>3</w:t>
            </w:r>
            <w:r w:rsidRPr="001F5EB4">
              <w:rPr>
                <w:sz w:val="24"/>
              </w:rPr>
              <w:t>、坚持智能生产管理，持续提升管理和信息化建设水平；</w:t>
            </w:r>
            <w:r w:rsidRPr="001F5EB4">
              <w:rPr>
                <w:sz w:val="24"/>
              </w:rPr>
              <w:t>4</w:t>
            </w:r>
            <w:r w:rsidRPr="001F5EB4">
              <w:rPr>
                <w:sz w:val="24"/>
              </w:rPr>
              <w:t>、积极推进和完善</w:t>
            </w:r>
            <w:r w:rsidRPr="001F5EB4">
              <w:rPr>
                <w:sz w:val="24"/>
              </w:rPr>
              <w:t>ESG</w:t>
            </w:r>
            <w:r w:rsidRPr="001F5EB4">
              <w:rPr>
                <w:sz w:val="24"/>
              </w:rPr>
              <w:t>可持续发展工作；</w:t>
            </w:r>
            <w:r w:rsidRPr="001F5EB4">
              <w:rPr>
                <w:sz w:val="24"/>
              </w:rPr>
              <w:t>5</w:t>
            </w:r>
            <w:r w:rsidRPr="001F5EB4">
              <w:rPr>
                <w:sz w:val="24"/>
              </w:rPr>
              <w:t>、稳步推进募投项目达产，进一步释放产能，推动业绩稳健增长。与此同时，人形机器人将是未来钕铁硼磁组件重要的需求增长点，得益于公司的提前布局及技术积累，</w:t>
            </w:r>
            <w:r w:rsidRPr="001F5EB4">
              <w:rPr>
                <w:sz w:val="24"/>
              </w:rPr>
              <w:t>2025</w:t>
            </w:r>
            <w:r w:rsidRPr="001F5EB4">
              <w:rPr>
                <w:sz w:val="24"/>
              </w:rPr>
              <w:t>年公司将努力开发包括人形机器人等在内的高端领域的优质客户，为公司未来的健康持续发展奠定良好的基础。谢谢您的关注！</w:t>
            </w:r>
          </w:p>
          <w:p w14:paraId="34FD1976" w14:textId="13B49266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6</w:t>
            </w:r>
            <w:r w:rsidRPr="001F5EB4">
              <w:rPr>
                <w:b/>
                <w:bCs/>
                <w:sz w:val="24"/>
              </w:rPr>
              <w:t>、请问公司现在取得的专利情况如何？</w:t>
            </w:r>
          </w:p>
          <w:p w14:paraId="6CC68BCC" w14:textId="24243107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公司始终坚持高性能稀土永磁材料提供商定位，以高性能、资源低耗为主要目标，聚焦稀土永磁材料制备过程的关键技术创新与突破，形成了多元成分调控、晶粒细化、一次成型压制、晶界扩散、高效绿色加工、低涡流损耗磁体、新型镀层表面处理等一系列先进核心技术，并成功实现规模化生产与产业化应用，产品性能及核心技术整体居国内先进水平。截至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年年底，公司拥有授权专利</w:t>
            </w:r>
            <w:r w:rsidRPr="001F5EB4">
              <w:rPr>
                <w:sz w:val="24"/>
              </w:rPr>
              <w:t>107</w:t>
            </w:r>
            <w:r w:rsidRPr="001F5EB4">
              <w:rPr>
                <w:sz w:val="24"/>
              </w:rPr>
              <w:t>项，其中欧洲、日本、美国等国家和地区</w:t>
            </w:r>
            <w:r w:rsidRPr="001F5EB4">
              <w:rPr>
                <w:sz w:val="24"/>
              </w:rPr>
              <w:t>48</w:t>
            </w:r>
            <w:r w:rsidRPr="001F5EB4">
              <w:rPr>
                <w:sz w:val="24"/>
              </w:rPr>
              <w:t>项，国内</w:t>
            </w:r>
            <w:r w:rsidRPr="001F5EB4">
              <w:rPr>
                <w:sz w:val="24"/>
              </w:rPr>
              <w:t>59</w:t>
            </w:r>
            <w:r w:rsidRPr="001F5EB4">
              <w:rPr>
                <w:sz w:val="24"/>
              </w:rPr>
              <w:t>项。谢谢您的关注！</w:t>
            </w:r>
          </w:p>
          <w:p w14:paraId="17EDF956" w14:textId="3775B3F3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7</w:t>
            </w:r>
            <w:r w:rsidRPr="001F5EB4">
              <w:rPr>
                <w:b/>
                <w:bCs/>
                <w:sz w:val="24"/>
              </w:rPr>
              <w:t>、公司目前的产能多少？</w:t>
            </w:r>
          </w:p>
          <w:p w14:paraId="1F832532" w14:textId="243D26CC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年度，在产能建设方面，公司募投项目</w:t>
            </w:r>
            <w:r w:rsidRPr="001F5EB4">
              <w:rPr>
                <w:sz w:val="24"/>
              </w:rPr>
              <w:t>“</w:t>
            </w:r>
            <w:r w:rsidRPr="001F5EB4">
              <w:rPr>
                <w:sz w:val="24"/>
              </w:rPr>
              <w:t>高性能钕铁硼产业化项目</w:t>
            </w:r>
            <w:r w:rsidRPr="001F5EB4">
              <w:rPr>
                <w:sz w:val="24"/>
              </w:rPr>
              <w:t>”</w:t>
            </w:r>
            <w:r w:rsidRPr="001F5EB4">
              <w:rPr>
                <w:sz w:val="24"/>
              </w:rPr>
              <w:t>产能稳定释放，通过自动化产线升级、数字化管理系统部署、绿色化生产工艺改造实现制造能效的提升，当前已形成年产</w:t>
            </w:r>
            <w:r w:rsidRPr="001F5EB4">
              <w:rPr>
                <w:sz w:val="24"/>
              </w:rPr>
              <w:t>9,300</w:t>
            </w:r>
            <w:r w:rsidRPr="001F5EB4">
              <w:rPr>
                <w:sz w:val="24"/>
              </w:rPr>
              <w:t>吨高性能稀土永磁材料的完整产业链配套能力，保证了从毛坯生产、机械加工到成品检验等各个环节的产能匹配，为公司拓展客户和扩大市场份额打下了良好的基础。谢谢您的关注！</w:t>
            </w:r>
          </w:p>
          <w:p w14:paraId="0536B78C" w14:textId="688A1F49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8</w:t>
            </w:r>
            <w:r w:rsidRPr="001F5EB4">
              <w:rPr>
                <w:b/>
                <w:bCs/>
                <w:sz w:val="24"/>
              </w:rPr>
              <w:t>、公司本期盈利水平如何？</w:t>
            </w:r>
          </w:p>
          <w:p w14:paraId="1F2C3B2C" w14:textId="5B1E5CA9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年，公司实现销售收入</w:t>
            </w:r>
            <w:r w:rsidRPr="001F5EB4">
              <w:rPr>
                <w:sz w:val="24"/>
              </w:rPr>
              <w:t>258,970.51</w:t>
            </w:r>
            <w:r w:rsidRPr="001F5EB4">
              <w:rPr>
                <w:sz w:val="24"/>
              </w:rPr>
              <w:t>万元，较上年的</w:t>
            </w:r>
            <w:r w:rsidRPr="001F5EB4">
              <w:rPr>
                <w:sz w:val="24"/>
              </w:rPr>
              <w:t>265,134.17</w:t>
            </w:r>
            <w:r w:rsidRPr="001F5EB4">
              <w:rPr>
                <w:sz w:val="24"/>
              </w:rPr>
              <w:t>万元减少了</w:t>
            </w:r>
            <w:r w:rsidRPr="001F5EB4">
              <w:rPr>
                <w:sz w:val="24"/>
              </w:rPr>
              <w:t>6,163.66</w:t>
            </w:r>
            <w:r w:rsidRPr="001F5EB4">
              <w:rPr>
                <w:sz w:val="24"/>
              </w:rPr>
              <w:t>万元，下降</w:t>
            </w:r>
            <w:r w:rsidRPr="001F5EB4">
              <w:rPr>
                <w:sz w:val="24"/>
              </w:rPr>
              <w:t>2.32%</w:t>
            </w:r>
            <w:r w:rsidRPr="001F5EB4">
              <w:rPr>
                <w:sz w:val="24"/>
              </w:rPr>
              <w:t>。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年实现净利润</w:t>
            </w:r>
            <w:r w:rsidRPr="001F5EB4">
              <w:rPr>
                <w:sz w:val="24"/>
              </w:rPr>
              <w:t>13,608.54</w:t>
            </w:r>
            <w:r w:rsidRPr="001F5EB4">
              <w:rPr>
                <w:sz w:val="24"/>
              </w:rPr>
              <w:t>万元，较上年的</w:t>
            </w:r>
            <w:r w:rsidRPr="001F5EB4">
              <w:rPr>
                <w:sz w:val="24"/>
              </w:rPr>
              <w:t>16,880.58</w:t>
            </w:r>
            <w:r w:rsidRPr="001F5EB4">
              <w:rPr>
                <w:sz w:val="24"/>
              </w:rPr>
              <w:t>万元减少了</w:t>
            </w:r>
            <w:r w:rsidRPr="001F5EB4">
              <w:rPr>
                <w:sz w:val="24"/>
              </w:rPr>
              <w:t>3,272.04</w:t>
            </w:r>
            <w:r w:rsidRPr="001F5EB4">
              <w:rPr>
                <w:sz w:val="24"/>
              </w:rPr>
              <w:t>万元，下降</w:t>
            </w:r>
            <w:r w:rsidRPr="001F5EB4">
              <w:rPr>
                <w:sz w:val="24"/>
              </w:rPr>
              <w:t>19.38%</w:t>
            </w:r>
            <w:r w:rsidRPr="001F5EB4">
              <w:rPr>
                <w:sz w:val="24"/>
              </w:rPr>
              <w:t>。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年实现扣非净利润</w:t>
            </w:r>
            <w:r w:rsidRPr="001F5EB4">
              <w:rPr>
                <w:sz w:val="24"/>
              </w:rPr>
              <w:t>13,208.71</w:t>
            </w:r>
            <w:r w:rsidRPr="001F5EB4">
              <w:rPr>
                <w:sz w:val="24"/>
              </w:rPr>
              <w:t>万元，较上年的</w:t>
            </w:r>
            <w:r w:rsidRPr="001F5EB4">
              <w:rPr>
                <w:sz w:val="24"/>
              </w:rPr>
              <w:t>16,146.76</w:t>
            </w:r>
            <w:r w:rsidRPr="001F5EB4">
              <w:rPr>
                <w:sz w:val="24"/>
              </w:rPr>
              <w:t>万元减少了</w:t>
            </w:r>
            <w:r w:rsidRPr="001F5EB4">
              <w:rPr>
                <w:sz w:val="24"/>
              </w:rPr>
              <w:t>2,938.05</w:t>
            </w:r>
            <w:r w:rsidRPr="001F5EB4">
              <w:rPr>
                <w:sz w:val="24"/>
              </w:rPr>
              <w:t>万元，下降</w:t>
            </w:r>
            <w:r w:rsidRPr="001F5EB4">
              <w:rPr>
                <w:sz w:val="24"/>
              </w:rPr>
              <w:t>18.20%</w:t>
            </w:r>
            <w:r w:rsidRPr="001F5EB4">
              <w:rPr>
                <w:sz w:val="24"/>
              </w:rPr>
              <w:t>。</w:t>
            </w:r>
            <w:r w:rsidRPr="001F5EB4">
              <w:rPr>
                <w:sz w:val="24"/>
              </w:rPr>
              <w:t xml:space="preserve"> </w:t>
            </w:r>
            <w:r w:rsidRPr="001F5EB4">
              <w:rPr>
                <w:sz w:val="24"/>
              </w:rPr>
              <w:t>谢谢您的</w:t>
            </w:r>
            <w:r w:rsidRPr="001F5EB4">
              <w:rPr>
                <w:sz w:val="24"/>
              </w:rPr>
              <w:lastRenderedPageBreak/>
              <w:t>关注！</w:t>
            </w:r>
          </w:p>
          <w:p w14:paraId="7EE6BB22" w14:textId="2AF05E7F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9</w:t>
            </w:r>
            <w:r w:rsidRPr="001F5EB4">
              <w:rPr>
                <w:b/>
                <w:bCs/>
                <w:sz w:val="24"/>
              </w:rPr>
              <w:t>、您好，什么是稀土永磁材料</w:t>
            </w:r>
          </w:p>
          <w:p w14:paraId="74A5F15F" w14:textId="3D1950D0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稀土永磁材料是指以稀土金属元素</w:t>
            </w:r>
            <w:r w:rsidRPr="001F5EB4">
              <w:rPr>
                <w:sz w:val="24"/>
              </w:rPr>
              <w:t>RE</w:t>
            </w:r>
            <w:r w:rsidRPr="001F5EB4">
              <w:rPr>
                <w:sz w:val="24"/>
              </w:rPr>
              <w:t>（</w:t>
            </w:r>
            <w:r w:rsidRPr="001F5EB4">
              <w:rPr>
                <w:sz w:val="24"/>
              </w:rPr>
              <w:t>Sm</w:t>
            </w:r>
            <w:r w:rsidRPr="001F5EB4">
              <w:rPr>
                <w:sz w:val="24"/>
              </w:rPr>
              <w:t>、</w:t>
            </w:r>
            <w:r w:rsidRPr="001F5EB4">
              <w:rPr>
                <w:sz w:val="24"/>
              </w:rPr>
              <w:t>Nd</w:t>
            </w:r>
            <w:r w:rsidRPr="001F5EB4">
              <w:rPr>
                <w:sz w:val="24"/>
              </w:rPr>
              <w:t>、</w:t>
            </w:r>
            <w:r w:rsidRPr="001F5EB4">
              <w:rPr>
                <w:sz w:val="24"/>
              </w:rPr>
              <w:t>Pr</w:t>
            </w:r>
            <w:r w:rsidRPr="001F5EB4">
              <w:rPr>
                <w:sz w:val="24"/>
              </w:rPr>
              <w:t>等）和过渡族金属元素</w:t>
            </w:r>
            <w:r w:rsidRPr="001F5EB4">
              <w:rPr>
                <w:sz w:val="24"/>
              </w:rPr>
              <w:t>TM</w:t>
            </w:r>
            <w:r w:rsidRPr="001F5EB4">
              <w:rPr>
                <w:sz w:val="24"/>
              </w:rPr>
              <w:t>（</w:t>
            </w:r>
            <w:r w:rsidRPr="001F5EB4">
              <w:rPr>
                <w:sz w:val="24"/>
              </w:rPr>
              <w:t>Fe</w:t>
            </w:r>
            <w:r w:rsidRPr="001F5EB4">
              <w:rPr>
                <w:sz w:val="24"/>
              </w:rPr>
              <w:t>、</w:t>
            </w:r>
            <w:r w:rsidRPr="001F5EB4">
              <w:rPr>
                <w:sz w:val="24"/>
              </w:rPr>
              <w:t>Co</w:t>
            </w:r>
            <w:r w:rsidRPr="001F5EB4">
              <w:rPr>
                <w:sz w:val="24"/>
              </w:rPr>
              <w:t>等）共同形成的，以金属间化合物为基础的一类永磁材料，全称为稀土金属间化合物永磁材料。谢谢您的关注！</w:t>
            </w:r>
          </w:p>
          <w:p w14:paraId="1D29CA9E" w14:textId="7F94B041" w:rsidR="001F5EB4" w:rsidRPr="001F5EB4" w:rsidRDefault="001F5EB4" w:rsidP="001F5EB4">
            <w:pPr>
              <w:spacing w:line="360" w:lineRule="auto"/>
              <w:rPr>
                <w:b/>
                <w:bCs/>
              </w:rPr>
            </w:pPr>
            <w:r w:rsidRPr="001F5EB4">
              <w:rPr>
                <w:b/>
                <w:bCs/>
                <w:sz w:val="24"/>
              </w:rPr>
              <w:t>10</w:t>
            </w:r>
            <w:r w:rsidRPr="001F5EB4">
              <w:rPr>
                <w:b/>
                <w:bCs/>
                <w:sz w:val="24"/>
              </w:rPr>
              <w:t>、公司</w:t>
            </w:r>
            <w:r w:rsidRPr="001F5EB4">
              <w:rPr>
                <w:b/>
                <w:bCs/>
                <w:sz w:val="24"/>
              </w:rPr>
              <w:t>2025</w:t>
            </w:r>
            <w:r w:rsidRPr="001F5EB4">
              <w:rPr>
                <w:b/>
                <w:bCs/>
                <w:sz w:val="24"/>
              </w:rPr>
              <w:t>年</w:t>
            </w:r>
            <w:r w:rsidRPr="001F5EB4">
              <w:rPr>
                <w:b/>
                <w:bCs/>
                <w:sz w:val="24"/>
              </w:rPr>
              <w:t>1</w:t>
            </w:r>
            <w:r w:rsidRPr="001F5EB4">
              <w:rPr>
                <w:b/>
                <w:bCs/>
                <w:sz w:val="24"/>
              </w:rPr>
              <w:t>季度毛利率高于</w:t>
            </w:r>
            <w:r w:rsidRPr="001F5EB4">
              <w:rPr>
                <w:b/>
                <w:bCs/>
                <w:sz w:val="24"/>
              </w:rPr>
              <w:t>2024</w:t>
            </w:r>
            <w:r w:rsidRPr="001F5EB4">
              <w:rPr>
                <w:b/>
                <w:bCs/>
                <w:sz w:val="24"/>
              </w:rPr>
              <w:t>年全年整体毛利率的原因是什么？</w:t>
            </w:r>
          </w:p>
          <w:p w14:paraId="674EC1AC" w14:textId="59D3B897" w:rsidR="001F5EB4" w:rsidRPr="001F5EB4" w:rsidRDefault="001F5EB4" w:rsidP="001F5EB4">
            <w:pPr>
              <w:spacing w:line="360" w:lineRule="auto"/>
              <w:rPr>
                <w:sz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 xml:space="preserve">2025 </w:t>
            </w:r>
            <w:r w:rsidRPr="001F5EB4">
              <w:rPr>
                <w:sz w:val="24"/>
              </w:rPr>
              <w:t>年第一季度，受市场供需以及国际贸易等因素影响，国内稀土产品的市场价格企稳回升，公司业务综合毛利率提升。同时，公司运营效率实现了进一步提升，业务结构持续进行了优化。此外，公司产品为定制化产品，毛利率水平除了受市场环境影响外，与产品的种类、应用领域、技术指标、客户类型等存在直接关系。</w:t>
            </w:r>
            <w:r w:rsidRPr="001F5EB4">
              <w:rPr>
                <w:sz w:val="24"/>
              </w:rPr>
              <w:t>2025</w:t>
            </w:r>
            <w:r w:rsidRPr="001F5EB4">
              <w:rPr>
                <w:sz w:val="24"/>
              </w:rPr>
              <w:t>年一季度毛利率提升是受以上因素综合影响的结果。谢谢您的关注！</w:t>
            </w:r>
          </w:p>
          <w:p w14:paraId="5368DF1D" w14:textId="15E888B4" w:rsidR="001F5EB4" w:rsidRPr="001F5EB4" w:rsidRDefault="001F5EB4" w:rsidP="001F5EB4">
            <w:pPr>
              <w:spacing w:line="360" w:lineRule="auto"/>
            </w:pPr>
            <w:r w:rsidRPr="001F5EB4">
              <w:rPr>
                <w:b/>
                <w:bCs/>
                <w:sz w:val="24"/>
              </w:rPr>
              <w:t>11</w:t>
            </w:r>
            <w:r w:rsidRPr="001F5EB4">
              <w:rPr>
                <w:b/>
                <w:bCs/>
                <w:sz w:val="24"/>
              </w:rPr>
              <w:t>、为什么公司</w:t>
            </w:r>
            <w:r w:rsidRPr="001F5EB4">
              <w:rPr>
                <w:b/>
                <w:bCs/>
                <w:sz w:val="24"/>
              </w:rPr>
              <w:t>2025</w:t>
            </w:r>
            <w:r w:rsidRPr="001F5EB4">
              <w:rPr>
                <w:b/>
                <w:bCs/>
                <w:sz w:val="24"/>
              </w:rPr>
              <w:t>年一季度收入同比下降，是因为出货量下降还是产品单价下降？</w:t>
            </w:r>
          </w:p>
          <w:p w14:paraId="0F44964A" w14:textId="5D229B54" w:rsidR="00152863" w:rsidRPr="001F5EB4" w:rsidRDefault="001F5EB4" w:rsidP="001F5E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F5EB4">
              <w:rPr>
                <w:sz w:val="24"/>
              </w:rPr>
              <w:t>答</w:t>
            </w:r>
            <w:r w:rsidR="00AD2D49">
              <w:rPr>
                <w:rFonts w:hint="eastAsia"/>
                <w:sz w:val="24"/>
              </w:rPr>
              <w:t>：</w:t>
            </w:r>
            <w:r w:rsidRPr="001F5EB4">
              <w:rPr>
                <w:sz w:val="24"/>
              </w:rPr>
              <w:t>公司</w:t>
            </w:r>
            <w:r w:rsidRPr="001F5EB4">
              <w:rPr>
                <w:sz w:val="24"/>
              </w:rPr>
              <w:t>2025</w:t>
            </w:r>
            <w:r w:rsidRPr="001F5EB4">
              <w:rPr>
                <w:sz w:val="24"/>
              </w:rPr>
              <w:t>年第一季度营业收入</w:t>
            </w:r>
            <w:r w:rsidRPr="001F5EB4">
              <w:rPr>
                <w:sz w:val="24"/>
              </w:rPr>
              <w:t>52,543.75</w:t>
            </w:r>
            <w:r w:rsidRPr="001F5EB4">
              <w:rPr>
                <w:sz w:val="24"/>
              </w:rPr>
              <w:t>万元，</w:t>
            </w:r>
            <w:r w:rsidRPr="001F5EB4">
              <w:rPr>
                <w:sz w:val="24"/>
              </w:rPr>
              <w:t>2024</w:t>
            </w:r>
            <w:r w:rsidRPr="001F5EB4">
              <w:rPr>
                <w:sz w:val="24"/>
              </w:rPr>
              <w:t>年第一季度营业收入</w:t>
            </w:r>
            <w:r w:rsidRPr="001F5EB4">
              <w:rPr>
                <w:sz w:val="24"/>
              </w:rPr>
              <w:t>55,750.06</w:t>
            </w:r>
            <w:r w:rsidRPr="001F5EB4">
              <w:rPr>
                <w:sz w:val="24"/>
              </w:rPr>
              <w:t>万元，营业收入微降，基本保持稳定。谢谢您的关注！</w:t>
            </w:r>
          </w:p>
        </w:tc>
      </w:tr>
      <w:tr w:rsidR="00782C0D" w:rsidRPr="004810FC" w14:paraId="012FF7A2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61AD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D5E8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782C0D" w:rsidRPr="004810FC" w14:paraId="4C2B266E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A6DE" w14:textId="77777777" w:rsidR="00782C0D" w:rsidRPr="004810FC" w:rsidRDefault="00782C0D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 w:rsidRPr="004810FC"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6227" w14:textId="27F37A61" w:rsidR="00782C0D" w:rsidRPr="004810FC" w:rsidRDefault="00BA2BDA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D67BB9" w:rsidRPr="004810FC" w14:paraId="2F8ABCFD" w14:textId="77777777" w:rsidTr="00152863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58D7" w14:textId="7880FEF6" w:rsidR="00D67BB9" w:rsidRPr="004810FC" w:rsidRDefault="00D67BB9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F603" w14:textId="51FB1BBD" w:rsidR="00D67BB9" w:rsidRPr="00463D67" w:rsidRDefault="00D67BB9" w:rsidP="00782C0D">
            <w:pPr>
              <w:spacing w:line="360" w:lineRule="auto"/>
              <w:rPr>
                <w:rFonts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DC6F43">
              <w:rPr>
                <w:rFonts w:eastAsiaTheme="minorEastAsia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DC6F43">
              <w:rPr>
                <w:rFonts w:eastAsiaTheme="minorEastAsia" w:hint="eastAsia"/>
                <w:bCs/>
                <w:iCs/>
                <w:sz w:val="24"/>
                <w:szCs w:val="24"/>
              </w:rPr>
              <w:t>30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D39FA38" w14:textId="63F0A58A" w:rsidR="00C436A7" w:rsidRDefault="00C436A7" w:rsidP="00BA5E94">
      <w:pPr>
        <w:widowControl/>
        <w:jc w:val="left"/>
        <w:rPr>
          <w:rFonts w:eastAsiaTheme="minorEastAsia"/>
        </w:rPr>
      </w:pPr>
    </w:p>
    <w:p w14:paraId="220B8A48" w14:textId="21AFB58A" w:rsidR="00C436A7" w:rsidRDefault="00C436A7">
      <w:pPr>
        <w:widowControl/>
        <w:jc w:val="left"/>
        <w:rPr>
          <w:rFonts w:eastAsiaTheme="minorEastAsia"/>
        </w:rPr>
      </w:pPr>
    </w:p>
    <w:sectPr w:rsidR="00C436A7">
      <w:headerReference w:type="default" r:id="rId7"/>
      <w:headerReference w:type="first" r:id="rId8"/>
      <w:pgSz w:w="11906" w:h="16838"/>
      <w:pgMar w:top="1440" w:right="1797" w:bottom="1440" w:left="1797" w:header="850" w:footer="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BD8E" w14:textId="77777777" w:rsidR="00AE28FF" w:rsidRDefault="00AE28FF">
      <w:r>
        <w:separator/>
      </w:r>
    </w:p>
  </w:endnote>
  <w:endnote w:type="continuationSeparator" w:id="0">
    <w:p w14:paraId="15F52F18" w14:textId="77777777" w:rsidR="00AE28FF" w:rsidRDefault="00A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7A2E" w14:textId="77777777" w:rsidR="00AE28FF" w:rsidRDefault="00AE28FF">
      <w:r>
        <w:separator/>
      </w:r>
    </w:p>
  </w:footnote>
  <w:footnote w:type="continuationSeparator" w:id="0">
    <w:p w14:paraId="4726330C" w14:textId="77777777" w:rsidR="00AE28FF" w:rsidRDefault="00AE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7CC5" w14:textId="77777777" w:rsidR="00ED79BD" w:rsidRDefault="00ED79BD">
    <w:pPr>
      <w:pStyle w:val="a7"/>
      <w:pBdr>
        <w:bottom w:val="none" w:sz="0" w:space="0" w:color="auto"/>
      </w:pBdr>
      <w:rPr>
        <w:rFonts w:ascii="Times New Roman" w:hAnsi="Times New Roman" w:cs="Times New Roman"/>
        <w:sz w:val="21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476E" w14:textId="2ABA6B30" w:rsidR="00ED79BD" w:rsidRDefault="00000000">
    <w:pPr>
      <w:pStyle w:val="a7"/>
      <w:pBdr>
        <w:bottom w:val="none" w:sz="0" w:space="0" w:color="auto"/>
      </w:pBdr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证券代码：</w:t>
    </w:r>
    <w:r w:rsidR="00C436A7">
      <w:rPr>
        <w:rFonts w:ascii="Times New Roman" w:hAnsi="Times New Roman" w:cs="Times New Roman" w:hint="eastAsia"/>
        <w:sz w:val="21"/>
        <w:szCs w:val="21"/>
      </w:rPr>
      <w:t>603072</w:t>
    </w:r>
    <w:r w:rsidR="00C436A7"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hAnsi="Times New Roman" w:cs="Times New Roman"/>
        <w:sz w:val="21"/>
        <w:szCs w:val="21"/>
      </w:rPr>
      <w:ptab w:relativeTo="margin" w:alignment="right" w:leader="none"/>
    </w:r>
    <w:r>
      <w:rPr>
        <w:rFonts w:ascii="Times New Roman" w:hAnsi="Times New Roman" w:cs="Times New Roman"/>
        <w:sz w:val="21"/>
        <w:szCs w:val="21"/>
      </w:rPr>
      <w:t>证券简称：</w:t>
    </w:r>
    <w:r w:rsidR="00C436A7">
      <w:rPr>
        <w:rFonts w:ascii="Times New Roman" w:hAnsi="Times New Roman" w:cs="Times New Roman" w:hint="eastAsia"/>
        <w:sz w:val="21"/>
        <w:szCs w:val="21"/>
      </w:rPr>
      <w:t>天和磁材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709D"/>
    <w:multiLevelType w:val="hybridMultilevel"/>
    <w:tmpl w:val="6E1823D6"/>
    <w:lvl w:ilvl="0" w:tplc="0A06D792">
      <w:start w:val="1"/>
      <w:numFmt w:val="decimal"/>
      <w:lvlText w:val="%1、"/>
      <w:lvlJc w:val="left"/>
      <w:pPr>
        <w:tabs>
          <w:tab w:val="num" w:pos="862"/>
        </w:tabs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692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3E"/>
    <w:rsid w:val="BE931691"/>
    <w:rsid w:val="FB56BC27"/>
    <w:rsid w:val="00000D53"/>
    <w:rsid w:val="00001A44"/>
    <w:rsid w:val="00005DC7"/>
    <w:rsid w:val="00010E2E"/>
    <w:rsid w:val="00012C0E"/>
    <w:rsid w:val="0001590A"/>
    <w:rsid w:val="00017DAD"/>
    <w:rsid w:val="0002668D"/>
    <w:rsid w:val="000325CA"/>
    <w:rsid w:val="0004058A"/>
    <w:rsid w:val="00040F76"/>
    <w:rsid w:val="00043592"/>
    <w:rsid w:val="000601B6"/>
    <w:rsid w:val="0007243B"/>
    <w:rsid w:val="000754F1"/>
    <w:rsid w:val="000901A2"/>
    <w:rsid w:val="000933FF"/>
    <w:rsid w:val="00095313"/>
    <w:rsid w:val="000A42A2"/>
    <w:rsid w:val="000A62C1"/>
    <w:rsid w:val="000B41EE"/>
    <w:rsid w:val="000B58D4"/>
    <w:rsid w:val="000C6659"/>
    <w:rsid w:val="000C6D27"/>
    <w:rsid w:val="000D758F"/>
    <w:rsid w:val="000E47E4"/>
    <w:rsid w:val="000E5ACE"/>
    <w:rsid w:val="000F14FC"/>
    <w:rsid w:val="000F1E31"/>
    <w:rsid w:val="000F500B"/>
    <w:rsid w:val="000F6057"/>
    <w:rsid w:val="000F7ECD"/>
    <w:rsid w:val="00100A5F"/>
    <w:rsid w:val="00101F48"/>
    <w:rsid w:val="0010436C"/>
    <w:rsid w:val="00117AF5"/>
    <w:rsid w:val="00132177"/>
    <w:rsid w:val="00133827"/>
    <w:rsid w:val="00136988"/>
    <w:rsid w:val="001430B6"/>
    <w:rsid w:val="00150ABC"/>
    <w:rsid w:val="0015196C"/>
    <w:rsid w:val="00152863"/>
    <w:rsid w:val="00152D51"/>
    <w:rsid w:val="00153CA0"/>
    <w:rsid w:val="00154FB4"/>
    <w:rsid w:val="001655BB"/>
    <w:rsid w:val="00167464"/>
    <w:rsid w:val="00167E44"/>
    <w:rsid w:val="001732F8"/>
    <w:rsid w:val="001770EC"/>
    <w:rsid w:val="00181375"/>
    <w:rsid w:val="00181C63"/>
    <w:rsid w:val="00183B35"/>
    <w:rsid w:val="00190A23"/>
    <w:rsid w:val="00195D94"/>
    <w:rsid w:val="001A0635"/>
    <w:rsid w:val="001B4D74"/>
    <w:rsid w:val="001C09B3"/>
    <w:rsid w:val="001C1EAF"/>
    <w:rsid w:val="001C5E7E"/>
    <w:rsid w:val="001F4926"/>
    <w:rsid w:val="001F5EB4"/>
    <w:rsid w:val="001F69DD"/>
    <w:rsid w:val="00206933"/>
    <w:rsid w:val="00206A06"/>
    <w:rsid w:val="00220E62"/>
    <w:rsid w:val="00231103"/>
    <w:rsid w:val="002432AF"/>
    <w:rsid w:val="0024390C"/>
    <w:rsid w:val="00244710"/>
    <w:rsid w:val="00244C38"/>
    <w:rsid w:val="0025477D"/>
    <w:rsid w:val="00261438"/>
    <w:rsid w:val="00267B5C"/>
    <w:rsid w:val="002700DD"/>
    <w:rsid w:val="002718CA"/>
    <w:rsid w:val="002719DA"/>
    <w:rsid w:val="00283108"/>
    <w:rsid w:val="00290BD3"/>
    <w:rsid w:val="00296382"/>
    <w:rsid w:val="002979C1"/>
    <w:rsid w:val="002C4044"/>
    <w:rsid w:val="002C6E8D"/>
    <w:rsid w:val="002C740D"/>
    <w:rsid w:val="002D122D"/>
    <w:rsid w:val="002D2D78"/>
    <w:rsid w:val="002D4DAC"/>
    <w:rsid w:val="002E022A"/>
    <w:rsid w:val="002F4179"/>
    <w:rsid w:val="00312949"/>
    <w:rsid w:val="00321351"/>
    <w:rsid w:val="00330AF1"/>
    <w:rsid w:val="00331F94"/>
    <w:rsid w:val="00335890"/>
    <w:rsid w:val="00341D0B"/>
    <w:rsid w:val="00344BEE"/>
    <w:rsid w:val="00350821"/>
    <w:rsid w:val="00357F4E"/>
    <w:rsid w:val="0036086F"/>
    <w:rsid w:val="003630C0"/>
    <w:rsid w:val="00367179"/>
    <w:rsid w:val="00373DF5"/>
    <w:rsid w:val="00376300"/>
    <w:rsid w:val="003834EF"/>
    <w:rsid w:val="003873B3"/>
    <w:rsid w:val="003933C4"/>
    <w:rsid w:val="003B28E8"/>
    <w:rsid w:val="003B2A7A"/>
    <w:rsid w:val="003C2D63"/>
    <w:rsid w:val="003C3D5C"/>
    <w:rsid w:val="003C7E9B"/>
    <w:rsid w:val="003F4921"/>
    <w:rsid w:val="003F55CD"/>
    <w:rsid w:val="00405A89"/>
    <w:rsid w:val="004075B1"/>
    <w:rsid w:val="004115D0"/>
    <w:rsid w:val="00413112"/>
    <w:rsid w:val="00415C01"/>
    <w:rsid w:val="00415D23"/>
    <w:rsid w:val="00423D04"/>
    <w:rsid w:val="00425671"/>
    <w:rsid w:val="00427FBF"/>
    <w:rsid w:val="00442AE5"/>
    <w:rsid w:val="00456DD3"/>
    <w:rsid w:val="00460709"/>
    <w:rsid w:val="004625B1"/>
    <w:rsid w:val="00462A7D"/>
    <w:rsid w:val="00463D67"/>
    <w:rsid w:val="004650E1"/>
    <w:rsid w:val="00472FC2"/>
    <w:rsid w:val="0047434E"/>
    <w:rsid w:val="00475716"/>
    <w:rsid w:val="004810FC"/>
    <w:rsid w:val="00483C1E"/>
    <w:rsid w:val="0048790E"/>
    <w:rsid w:val="00493613"/>
    <w:rsid w:val="00493977"/>
    <w:rsid w:val="00493FFA"/>
    <w:rsid w:val="0049638A"/>
    <w:rsid w:val="004A0FB1"/>
    <w:rsid w:val="004B5B5E"/>
    <w:rsid w:val="004B6198"/>
    <w:rsid w:val="004C21DC"/>
    <w:rsid w:val="004D099E"/>
    <w:rsid w:val="004D16CE"/>
    <w:rsid w:val="004D4B0F"/>
    <w:rsid w:val="004E33F2"/>
    <w:rsid w:val="004E5A03"/>
    <w:rsid w:val="004E74B9"/>
    <w:rsid w:val="004F6DB0"/>
    <w:rsid w:val="004F7BC7"/>
    <w:rsid w:val="0050045E"/>
    <w:rsid w:val="0050362E"/>
    <w:rsid w:val="00534FF5"/>
    <w:rsid w:val="0053789B"/>
    <w:rsid w:val="00546B4C"/>
    <w:rsid w:val="00551E7A"/>
    <w:rsid w:val="00552EAC"/>
    <w:rsid w:val="00555D00"/>
    <w:rsid w:val="00561C13"/>
    <w:rsid w:val="00567F7E"/>
    <w:rsid w:val="005705B4"/>
    <w:rsid w:val="00572AA1"/>
    <w:rsid w:val="00575E80"/>
    <w:rsid w:val="00583F6E"/>
    <w:rsid w:val="00594494"/>
    <w:rsid w:val="005A2614"/>
    <w:rsid w:val="005A3518"/>
    <w:rsid w:val="005B65D6"/>
    <w:rsid w:val="005C3C68"/>
    <w:rsid w:val="005C618E"/>
    <w:rsid w:val="005C65DB"/>
    <w:rsid w:val="005D2BB4"/>
    <w:rsid w:val="005D5686"/>
    <w:rsid w:val="005E1794"/>
    <w:rsid w:val="005F1470"/>
    <w:rsid w:val="005F6C1A"/>
    <w:rsid w:val="005F71DE"/>
    <w:rsid w:val="006053BF"/>
    <w:rsid w:val="00605FDB"/>
    <w:rsid w:val="00632FA4"/>
    <w:rsid w:val="00645E6F"/>
    <w:rsid w:val="00652C30"/>
    <w:rsid w:val="0066423A"/>
    <w:rsid w:val="00665007"/>
    <w:rsid w:val="006659ED"/>
    <w:rsid w:val="006741CD"/>
    <w:rsid w:val="006929D6"/>
    <w:rsid w:val="00695DB9"/>
    <w:rsid w:val="006A121F"/>
    <w:rsid w:val="006A59AD"/>
    <w:rsid w:val="006A74CA"/>
    <w:rsid w:val="006B7544"/>
    <w:rsid w:val="006C08D8"/>
    <w:rsid w:val="006C16CF"/>
    <w:rsid w:val="006C31C8"/>
    <w:rsid w:val="006E10A4"/>
    <w:rsid w:val="006E1B73"/>
    <w:rsid w:val="006F3555"/>
    <w:rsid w:val="007012A4"/>
    <w:rsid w:val="0070194B"/>
    <w:rsid w:val="00720F06"/>
    <w:rsid w:val="00731CF8"/>
    <w:rsid w:val="007322BE"/>
    <w:rsid w:val="007337A1"/>
    <w:rsid w:val="00735571"/>
    <w:rsid w:val="007362A6"/>
    <w:rsid w:val="007603F2"/>
    <w:rsid w:val="00762FD4"/>
    <w:rsid w:val="007669A4"/>
    <w:rsid w:val="00770BAD"/>
    <w:rsid w:val="00776A7E"/>
    <w:rsid w:val="00782C0D"/>
    <w:rsid w:val="00785B54"/>
    <w:rsid w:val="0079020D"/>
    <w:rsid w:val="00792F59"/>
    <w:rsid w:val="00793838"/>
    <w:rsid w:val="007A1FE6"/>
    <w:rsid w:val="007A4CBF"/>
    <w:rsid w:val="007A51BA"/>
    <w:rsid w:val="007A7C20"/>
    <w:rsid w:val="007B318E"/>
    <w:rsid w:val="007B4C26"/>
    <w:rsid w:val="007D23D7"/>
    <w:rsid w:val="007D369C"/>
    <w:rsid w:val="007D5A9E"/>
    <w:rsid w:val="007D7FE4"/>
    <w:rsid w:val="007E2EA4"/>
    <w:rsid w:val="007F556D"/>
    <w:rsid w:val="008010D5"/>
    <w:rsid w:val="00803E28"/>
    <w:rsid w:val="0081049D"/>
    <w:rsid w:val="00820557"/>
    <w:rsid w:val="008313CD"/>
    <w:rsid w:val="00831639"/>
    <w:rsid w:val="00835577"/>
    <w:rsid w:val="0084092F"/>
    <w:rsid w:val="00840FAF"/>
    <w:rsid w:val="00841468"/>
    <w:rsid w:val="008425DC"/>
    <w:rsid w:val="00865E75"/>
    <w:rsid w:val="00866053"/>
    <w:rsid w:val="00871EF1"/>
    <w:rsid w:val="00882818"/>
    <w:rsid w:val="00884D5A"/>
    <w:rsid w:val="00885186"/>
    <w:rsid w:val="00894D60"/>
    <w:rsid w:val="00897C1F"/>
    <w:rsid w:val="008D39FE"/>
    <w:rsid w:val="008D7BDF"/>
    <w:rsid w:val="008E2246"/>
    <w:rsid w:val="008F7925"/>
    <w:rsid w:val="009001DE"/>
    <w:rsid w:val="009114F1"/>
    <w:rsid w:val="00950C73"/>
    <w:rsid w:val="00973E23"/>
    <w:rsid w:val="009807BE"/>
    <w:rsid w:val="00983F87"/>
    <w:rsid w:val="009918CD"/>
    <w:rsid w:val="0099210F"/>
    <w:rsid w:val="00996EBC"/>
    <w:rsid w:val="009A65D4"/>
    <w:rsid w:val="009A6DB5"/>
    <w:rsid w:val="009B27CA"/>
    <w:rsid w:val="009B2FED"/>
    <w:rsid w:val="009C189A"/>
    <w:rsid w:val="009C4866"/>
    <w:rsid w:val="009C56FC"/>
    <w:rsid w:val="009D46D3"/>
    <w:rsid w:val="009D6446"/>
    <w:rsid w:val="009E119C"/>
    <w:rsid w:val="009E4EBE"/>
    <w:rsid w:val="009F14D7"/>
    <w:rsid w:val="009F208A"/>
    <w:rsid w:val="009F4A36"/>
    <w:rsid w:val="009F5F2B"/>
    <w:rsid w:val="00A00C02"/>
    <w:rsid w:val="00A10475"/>
    <w:rsid w:val="00A25446"/>
    <w:rsid w:val="00A34001"/>
    <w:rsid w:val="00A3503B"/>
    <w:rsid w:val="00A37F45"/>
    <w:rsid w:val="00A452D7"/>
    <w:rsid w:val="00A47D0A"/>
    <w:rsid w:val="00A5421B"/>
    <w:rsid w:val="00A57DED"/>
    <w:rsid w:val="00A57F5B"/>
    <w:rsid w:val="00A62C14"/>
    <w:rsid w:val="00A6326E"/>
    <w:rsid w:val="00A63754"/>
    <w:rsid w:val="00A655C4"/>
    <w:rsid w:val="00A66AE1"/>
    <w:rsid w:val="00A67805"/>
    <w:rsid w:val="00A844F8"/>
    <w:rsid w:val="00A916E9"/>
    <w:rsid w:val="00A9173B"/>
    <w:rsid w:val="00A91E24"/>
    <w:rsid w:val="00A92A7A"/>
    <w:rsid w:val="00AA1DF1"/>
    <w:rsid w:val="00AB156F"/>
    <w:rsid w:val="00AB6F06"/>
    <w:rsid w:val="00AB6F90"/>
    <w:rsid w:val="00AC76E7"/>
    <w:rsid w:val="00AD13CE"/>
    <w:rsid w:val="00AD2D49"/>
    <w:rsid w:val="00AD2FF1"/>
    <w:rsid w:val="00AE28FF"/>
    <w:rsid w:val="00AE3E2B"/>
    <w:rsid w:val="00AF2D7E"/>
    <w:rsid w:val="00B01A7D"/>
    <w:rsid w:val="00B02E02"/>
    <w:rsid w:val="00B203A6"/>
    <w:rsid w:val="00B25DE0"/>
    <w:rsid w:val="00B26949"/>
    <w:rsid w:val="00B270E1"/>
    <w:rsid w:val="00B3023D"/>
    <w:rsid w:val="00B370AE"/>
    <w:rsid w:val="00B37700"/>
    <w:rsid w:val="00B43C15"/>
    <w:rsid w:val="00B5143A"/>
    <w:rsid w:val="00B55697"/>
    <w:rsid w:val="00B558CD"/>
    <w:rsid w:val="00B56262"/>
    <w:rsid w:val="00B56BFE"/>
    <w:rsid w:val="00B63A1B"/>
    <w:rsid w:val="00B6409E"/>
    <w:rsid w:val="00B6755D"/>
    <w:rsid w:val="00B67C53"/>
    <w:rsid w:val="00B67EC3"/>
    <w:rsid w:val="00B77F4D"/>
    <w:rsid w:val="00B82F1B"/>
    <w:rsid w:val="00B9283B"/>
    <w:rsid w:val="00BA0534"/>
    <w:rsid w:val="00BA2BDA"/>
    <w:rsid w:val="00BA2F57"/>
    <w:rsid w:val="00BA5E94"/>
    <w:rsid w:val="00BC027D"/>
    <w:rsid w:val="00BC17B1"/>
    <w:rsid w:val="00BC470C"/>
    <w:rsid w:val="00BC4D98"/>
    <w:rsid w:val="00BC68AD"/>
    <w:rsid w:val="00BD3E48"/>
    <w:rsid w:val="00BD645D"/>
    <w:rsid w:val="00BE24FE"/>
    <w:rsid w:val="00BE3154"/>
    <w:rsid w:val="00BE7713"/>
    <w:rsid w:val="00C01339"/>
    <w:rsid w:val="00C309BE"/>
    <w:rsid w:val="00C35A39"/>
    <w:rsid w:val="00C436A7"/>
    <w:rsid w:val="00C504AC"/>
    <w:rsid w:val="00C5245D"/>
    <w:rsid w:val="00C76C16"/>
    <w:rsid w:val="00C86FE8"/>
    <w:rsid w:val="00C919B1"/>
    <w:rsid w:val="00CA0BDC"/>
    <w:rsid w:val="00CA51B1"/>
    <w:rsid w:val="00CB26DF"/>
    <w:rsid w:val="00CB3FF9"/>
    <w:rsid w:val="00CC1D6E"/>
    <w:rsid w:val="00CC4339"/>
    <w:rsid w:val="00D016AB"/>
    <w:rsid w:val="00D04AB9"/>
    <w:rsid w:val="00D117D3"/>
    <w:rsid w:val="00D177E0"/>
    <w:rsid w:val="00D20789"/>
    <w:rsid w:val="00D26037"/>
    <w:rsid w:val="00D301FA"/>
    <w:rsid w:val="00D32FC7"/>
    <w:rsid w:val="00D33129"/>
    <w:rsid w:val="00D41A0A"/>
    <w:rsid w:val="00D50D51"/>
    <w:rsid w:val="00D51AD7"/>
    <w:rsid w:val="00D5429F"/>
    <w:rsid w:val="00D60B85"/>
    <w:rsid w:val="00D6424B"/>
    <w:rsid w:val="00D67BB9"/>
    <w:rsid w:val="00D770D3"/>
    <w:rsid w:val="00D85C72"/>
    <w:rsid w:val="00D90A39"/>
    <w:rsid w:val="00D931CE"/>
    <w:rsid w:val="00D973BB"/>
    <w:rsid w:val="00DA0892"/>
    <w:rsid w:val="00DA325F"/>
    <w:rsid w:val="00DB0DDC"/>
    <w:rsid w:val="00DB1367"/>
    <w:rsid w:val="00DB49D0"/>
    <w:rsid w:val="00DC6F43"/>
    <w:rsid w:val="00DD183E"/>
    <w:rsid w:val="00DD56FE"/>
    <w:rsid w:val="00DD6417"/>
    <w:rsid w:val="00DF5A91"/>
    <w:rsid w:val="00E006E3"/>
    <w:rsid w:val="00E160AB"/>
    <w:rsid w:val="00E215C6"/>
    <w:rsid w:val="00E2783C"/>
    <w:rsid w:val="00E33AE1"/>
    <w:rsid w:val="00E34F33"/>
    <w:rsid w:val="00E368D8"/>
    <w:rsid w:val="00E403B0"/>
    <w:rsid w:val="00E416BA"/>
    <w:rsid w:val="00E425E1"/>
    <w:rsid w:val="00E5441D"/>
    <w:rsid w:val="00E6231C"/>
    <w:rsid w:val="00E62371"/>
    <w:rsid w:val="00E8184D"/>
    <w:rsid w:val="00E831A1"/>
    <w:rsid w:val="00E93CF4"/>
    <w:rsid w:val="00EA1BC5"/>
    <w:rsid w:val="00EA67BF"/>
    <w:rsid w:val="00EB4FB9"/>
    <w:rsid w:val="00EB79F7"/>
    <w:rsid w:val="00EC3198"/>
    <w:rsid w:val="00ED603A"/>
    <w:rsid w:val="00ED60CE"/>
    <w:rsid w:val="00ED79BD"/>
    <w:rsid w:val="00EE40C1"/>
    <w:rsid w:val="00F020E2"/>
    <w:rsid w:val="00F02869"/>
    <w:rsid w:val="00F61571"/>
    <w:rsid w:val="00F65392"/>
    <w:rsid w:val="00F74181"/>
    <w:rsid w:val="00F75C52"/>
    <w:rsid w:val="00F775C9"/>
    <w:rsid w:val="00F939B3"/>
    <w:rsid w:val="00F949EC"/>
    <w:rsid w:val="00FA0B84"/>
    <w:rsid w:val="00FA6512"/>
    <w:rsid w:val="00FB1875"/>
    <w:rsid w:val="00FB6311"/>
    <w:rsid w:val="00FC559F"/>
    <w:rsid w:val="00FD42F5"/>
    <w:rsid w:val="00FE138E"/>
    <w:rsid w:val="00FE20BE"/>
    <w:rsid w:val="00FE23EB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DD2CC"/>
  <w15:docId w15:val="{8A1E31AD-6050-41DE-A17E-94D2677B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03">
    <w:name w:val="003三级标题"/>
    <w:basedOn w:val="a"/>
    <w:link w:val="003Char"/>
    <w:qFormat/>
    <w:pPr>
      <w:keepNext/>
      <w:keepLines/>
      <w:adjustRightInd w:val="0"/>
      <w:snapToGrid w:val="0"/>
      <w:spacing w:beforeLines="50" w:before="50" w:afterLines="50" w:after="50" w:line="360" w:lineRule="auto"/>
      <w:ind w:firstLineChars="200" w:firstLine="200"/>
      <w:outlineLvl w:val="2"/>
    </w:pPr>
    <w:rPr>
      <w:rFonts w:ascii="Calibri" w:hAnsi="Calibri"/>
      <w:b/>
      <w:bCs/>
      <w:sz w:val="24"/>
      <w:szCs w:val="28"/>
      <w:lang w:val="zh-CN"/>
    </w:rPr>
  </w:style>
  <w:style w:type="paragraph" w:customStyle="1" w:styleId="005">
    <w:name w:val="005正文"/>
    <w:basedOn w:val="a"/>
    <w:link w:val="005CharChar"/>
    <w:qFormat/>
    <w:pPr>
      <w:spacing w:beforeLines="50" w:before="50" w:afterLines="50" w:after="50" w:line="360" w:lineRule="auto"/>
      <w:ind w:firstLineChars="200" w:firstLine="200"/>
    </w:pPr>
    <w:rPr>
      <w:rFonts w:ascii="Calibri" w:hAnsi="Calibri"/>
      <w:sz w:val="24"/>
      <w:szCs w:val="22"/>
    </w:rPr>
  </w:style>
  <w:style w:type="character" w:customStyle="1" w:styleId="003Char">
    <w:name w:val="003三级标题 Char"/>
    <w:link w:val="003"/>
    <w:qFormat/>
    <w:rPr>
      <w:rFonts w:ascii="Calibri" w:eastAsia="宋体" w:hAnsi="Calibri" w:cs="Times New Roman"/>
      <w:b/>
      <w:bCs/>
      <w:sz w:val="24"/>
      <w:szCs w:val="28"/>
      <w:lang w:val="zh-CN" w:eastAsia="zh-CN"/>
    </w:rPr>
  </w:style>
  <w:style w:type="character" w:customStyle="1" w:styleId="005CharChar">
    <w:name w:val="005正文 Char Char"/>
    <w:link w:val="005"/>
    <w:qFormat/>
    <w:rPr>
      <w:rFonts w:ascii="Calibri" w:eastAsia="宋体" w:hAnsi="Calibri" w:cs="Times New Roman"/>
      <w:sz w:val="24"/>
    </w:rPr>
  </w:style>
  <w:style w:type="paragraph" w:customStyle="1" w:styleId="006">
    <w:name w:val="006备注"/>
    <w:basedOn w:val="a"/>
    <w:qFormat/>
    <w:pPr>
      <w:adjustRightInd w:val="0"/>
    </w:pPr>
    <w:rPr>
      <w:rFonts w:cs="Arial"/>
      <w:bCs/>
      <w:szCs w:val="22"/>
    </w:rPr>
  </w:style>
  <w:style w:type="paragraph" w:customStyle="1" w:styleId="009">
    <w:name w:val="009单位"/>
    <w:basedOn w:val="005"/>
    <w:link w:val="009Char"/>
    <w:qFormat/>
    <w:pPr>
      <w:keepNext/>
      <w:adjustRightInd w:val="0"/>
      <w:snapToGrid w:val="0"/>
      <w:spacing w:beforeLines="0" w:before="0" w:afterLines="0" w:after="0" w:line="240" w:lineRule="auto"/>
      <w:ind w:firstLineChars="0" w:firstLine="0"/>
      <w:jc w:val="right"/>
    </w:pPr>
    <w:rPr>
      <w:rFonts w:ascii="Times New Roman" w:hAnsi="Times New Roman"/>
      <w:sz w:val="21"/>
      <w:lang w:val="zh-CN"/>
    </w:rPr>
  </w:style>
  <w:style w:type="character" w:customStyle="1" w:styleId="009Char">
    <w:name w:val="009单位 Char"/>
    <w:link w:val="009"/>
    <w:qFormat/>
    <w:locked/>
    <w:rPr>
      <w:rFonts w:ascii="Times New Roman" w:eastAsia="宋体" w:hAnsi="Times New Roman" w:cs="Times New Roman"/>
      <w:lang w:val="zh-CN" w:eastAsia="zh-CN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Hyperlink"/>
    <w:basedOn w:val="a0"/>
    <w:uiPriority w:val="99"/>
    <w:unhideWhenUsed/>
    <w:rsid w:val="00AB6F9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1371</Words>
  <Characters>1510</Characters>
  <Application>Microsoft Office Word</Application>
  <DocSecurity>0</DocSecurity>
  <Lines>79</Lines>
  <Paragraphs>73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mayer wan</cp:lastModifiedBy>
  <cp:revision>762</cp:revision>
  <cp:lastPrinted>2022-09-21T17:16:00Z</cp:lastPrinted>
  <dcterms:created xsi:type="dcterms:W3CDTF">2022-07-12T15:34:00Z</dcterms:created>
  <dcterms:modified xsi:type="dcterms:W3CDTF">2025-05-30T06:31:00Z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870B565B9F6684926786E463EEA6FB50</vt:lpwstr>
  </property>
</Properties>
</file>