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2F930">
      <w:pPr>
        <w:rPr>
          <w:rFonts w:ascii="宋体" w:hAnsi="宋体" w:eastAsia="宋体"/>
          <w:sz w:val="24"/>
          <w:szCs w:val="28"/>
        </w:rPr>
      </w:pPr>
      <w:r>
        <w:rPr>
          <w:rFonts w:hint="eastAsia" w:ascii="宋体" w:hAnsi="宋体" w:eastAsia="宋体"/>
          <w:sz w:val="24"/>
          <w:szCs w:val="28"/>
        </w:rPr>
        <w:t>证券代码：</w:t>
      </w:r>
      <w:r>
        <w:rPr>
          <w:rFonts w:ascii="Times New Roman" w:hAnsi="Times New Roman" w:eastAsia="宋体" w:cs="Times New Roman"/>
          <w:sz w:val="24"/>
          <w:szCs w:val="28"/>
        </w:rPr>
        <w:t xml:space="preserve">601126  </w:t>
      </w:r>
      <w:r>
        <w:rPr>
          <w:rFonts w:ascii="宋体" w:hAnsi="宋体" w:eastAsia="宋体"/>
          <w:sz w:val="24"/>
          <w:szCs w:val="28"/>
        </w:rPr>
        <w:t xml:space="preserve">                                 证券简称：</w:t>
      </w:r>
      <w:r>
        <w:rPr>
          <w:rFonts w:hint="eastAsia" w:ascii="宋体" w:hAnsi="宋体" w:eastAsia="宋体"/>
          <w:sz w:val="24"/>
          <w:szCs w:val="28"/>
        </w:rPr>
        <w:t>四方股份</w:t>
      </w:r>
    </w:p>
    <w:p w14:paraId="5B380C19">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32"/>
          <w:szCs w:val="32"/>
        </w:rPr>
        <w:t>北京四方继保自动化股份有限公司</w:t>
      </w:r>
    </w:p>
    <w:p w14:paraId="59402EDC">
      <w:pPr>
        <w:spacing w:line="24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投资者关系活动记录表</w:t>
      </w:r>
    </w:p>
    <w:p w14:paraId="2E284F21">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（2025年</w:t>
      </w:r>
      <w:r>
        <w:rPr>
          <w:rFonts w:hint="default" w:ascii="Times New Roman" w:hAnsi="Times New Roman" w:eastAsia="宋体" w:cs="Times New Roman"/>
          <w:b/>
          <w:bCs/>
          <w:sz w:val="32"/>
          <w:szCs w:val="32"/>
          <w:lang w:val="en-US" w:eastAsia="zh-CN"/>
        </w:rPr>
        <w:t>5</w:t>
      </w:r>
      <w:r>
        <w:rPr>
          <w:rFonts w:hint="default" w:ascii="Times New Roman" w:hAnsi="Times New Roman" w:eastAsia="宋体" w:cs="Times New Roman"/>
          <w:b/>
          <w:bCs/>
          <w:sz w:val="32"/>
          <w:szCs w:val="32"/>
        </w:rPr>
        <w:t>月）</w:t>
      </w:r>
    </w:p>
    <w:p w14:paraId="7E0347E8">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北京四方继保自动化股份有限公司</w:t>
      </w:r>
      <w:r>
        <w:rPr>
          <w:rFonts w:ascii="宋体" w:hAnsi="宋体" w:eastAsia="宋体"/>
          <w:sz w:val="24"/>
          <w:szCs w:val="24"/>
        </w:rPr>
        <w:t>于近期与投资</w:t>
      </w:r>
      <w:r>
        <w:rPr>
          <w:rFonts w:hint="eastAsia" w:ascii="宋体" w:hAnsi="宋体" w:eastAsia="宋体"/>
          <w:sz w:val="24"/>
          <w:szCs w:val="24"/>
        </w:rPr>
        <w:t>者、券商分析师等就公司生产经营情况进行交流，现将投资者关系活动的主要情况汇总发布如下：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4445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87C5C74">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投资者关系活动类别</w:t>
            </w:r>
          </w:p>
        </w:tc>
        <w:tc>
          <w:tcPr>
            <w:tcW w:w="6741" w:type="dxa"/>
            <w:vAlign w:val="center"/>
          </w:tcPr>
          <w:p w14:paraId="5A4EC9AA">
            <w:pPr>
              <w:keepNext w:val="0"/>
              <w:keepLines w:val="0"/>
              <w:suppressLineNumbers w:val="0"/>
              <w:spacing w:before="156" w:beforeLines="50" w:beforeAutospacing="0" w:after="156" w:afterLines="50" w:afterAutospacing="0" w:line="300" w:lineRule="auto"/>
              <w:ind w:left="0" w:right="0"/>
              <w:rPr>
                <w:rFonts w:hint="eastAsia" w:ascii="宋体" w:hAnsi="宋体" w:eastAsia="宋体"/>
                <w:sz w:val="24"/>
                <w:szCs w:val="24"/>
              </w:rPr>
            </w:pPr>
            <w:r>
              <w:rPr>
                <w:rFonts w:hint="eastAsia" w:ascii="宋体" w:hAnsi="宋体" w:eastAsia="宋体"/>
                <w:sz w:val="24"/>
                <w:szCs w:val="24"/>
                <w:woUserID w:val="2"/>
              </w:rPr>
              <w:sym w:font="Wingdings 2" w:char="00A3"/>
            </w:r>
            <w:r>
              <w:rPr>
                <w:rFonts w:hint="eastAsia" w:ascii="宋体" w:hAnsi="宋体" w:eastAsia="宋体"/>
                <w:sz w:val="24"/>
                <w:szCs w:val="24"/>
              </w:rPr>
              <w:t xml:space="preserve">特定对象调研  □分析师会议  </w:t>
            </w:r>
            <w:r>
              <w:rPr>
                <w:rFonts w:hint="eastAsia" w:ascii="宋体" w:hAnsi="宋体" w:eastAsia="宋体"/>
                <w:sz w:val="24"/>
                <w:szCs w:val="24"/>
              </w:rPr>
              <w:sym w:font="Wingdings 2" w:char="00A3"/>
            </w:r>
            <w:r>
              <w:rPr>
                <w:rFonts w:hint="eastAsia" w:ascii="宋体" w:hAnsi="宋体" w:eastAsia="宋体"/>
                <w:sz w:val="24"/>
                <w:szCs w:val="24"/>
              </w:rPr>
              <w:t xml:space="preserve">媒体采访  □业绩解读会 </w:t>
            </w:r>
            <w:r>
              <w:rPr>
                <w:rFonts w:hint="eastAsia" w:ascii="宋体" w:hAnsi="宋体" w:eastAsia="宋体"/>
                <w:sz w:val="24"/>
                <w:szCs w:val="24"/>
                <w:woUserID w:val="2"/>
              </w:rPr>
              <w:sym w:font="Wingdings 2" w:char="0052"/>
            </w:r>
            <w:r>
              <w:rPr>
                <w:rFonts w:hint="default" w:ascii="宋体" w:hAnsi="宋体" w:eastAsia="宋体"/>
                <w:sz w:val="24"/>
                <w:szCs w:val="24"/>
                <w:woUserID w:val="2"/>
              </w:rPr>
              <w:t>券商策略</w:t>
            </w:r>
            <w:r>
              <w:rPr>
                <w:rFonts w:hint="eastAsia" w:ascii="宋体" w:hAnsi="宋体" w:eastAsia="宋体"/>
                <w:sz w:val="24"/>
                <w:szCs w:val="24"/>
              </w:rPr>
              <w:t xml:space="preserve">会  </w:t>
            </w:r>
            <w:r>
              <w:rPr>
                <w:rFonts w:hint="default" w:ascii="宋体" w:hAnsi="宋体" w:eastAsia="宋体"/>
                <w:sz w:val="24"/>
                <w:szCs w:val="24"/>
                <w:lang w:val="en-US"/>
              </w:rPr>
              <w:t>□</w:t>
            </w:r>
            <w:r>
              <w:rPr>
                <w:rFonts w:hint="eastAsia" w:ascii="宋体" w:hAnsi="宋体" w:eastAsia="宋体"/>
                <w:sz w:val="24"/>
                <w:szCs w:val="24"/>
              </w:rPr>
              <w:t xml:space="preserve">路演活动  </w:t>
            </w:r>
            <w:r>
              <w:rPr>
                <w:rFonts w:hint="default" w:ascii="宋体" w:hAnsi="宋体" w:eastAsia="宋体"/>
                <w:sz w:val="24"/>
                <w:szCs w:val="24"/>
                <w:lang w:val="en-US"/>
              </w:rPr>
              <w:sym w:font="Wingdings 2" w:char="0052"/>
            </w:r>
            <w:r>
              <w:rPr>
                <w:rFonts w:hint="eastAsia" w:ascii="宋体" w:hAnsi="宋体" w:eastAsia="宋体"/>
                <w:sz w:val="24"/>
                <w:szCs w:val="24"/>
              </w:rPr>
              <w:t xml:space="preserve">现场参观  </w:t>
            </w:r>
            <w:r>
              <w:rPr>
                <w:rFonts w:hint="eastAsia" w:ascii="宋体" w:hAnsi="宋体" w:eastAsia="宋体"/>
                <w:sz w:val="24"/>
                <w:szCs w:val="24"/>
              </w:rPr>
              <w:sym w:font="Wingdings 2" w:char="0052"/>
            </w:r>
            <w:r>
              <w:rPr>
                <w:rFonts w:hint="eastAsia" w:ascii="宋体" w:hAnsi="宋体" w:eastAsia="宋体"/>
                <w:sz w:val="24"/>
                <w:szCs w:val="24"/>
              </w:rPr>
              <w:t>其他</w:t>
            </w:r>
          </w:p>
        </w:tc>
      </w:tr>
      <w:tr w14:paraId="6C78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55" w:type="dxa"/>
            <w:vAlign w:val="center"/>
          </w:tcPr>
          <w:p w14:paraId="20621EC6">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参与机构</w:t>
            </w:r>
          </w:p>
        </w:tc>
        <w:tc>
          <w:tcPr>
            <w:tcW w:w="6741" w:type="dxa"/>
            <w:vAlign w:val="center"/>
          </w:tcPr>
          <w:p w14:paraId="0110CECA">
            <w:pPr>
              <w:keepNext w:val="0"/>
              <w:keepLines w:val="0"/>
              <w:suppressLineNumbers w:val="0"/>
              <w:spacing w:before="156" w:beforeLines="50" w:beforeAutospacing="0" w:after="156" w:afterLines="50" w:afterAutospacing="0" w:line="300" w:lineRule="auto"/>
              <w:ind w:left="0" w:right="0"/>
              <w:jc w:val="left"/>
              <w:rPr>
                <w:rFonts w:hint="eastAsia" w:ascii="宋体" w:hAnsi="宋体" w:eastAsia="宋体"/>
                <w:sz w:val="24"/>
                <w:szCs w:val="24"/>
              </w:rPr>
            </w:pPr>
            <w:r>
              <w:rPr>
                <w:rFonts w:hint="default" w:ascii="宋体" w:hAnsi="宋体" w:eastAsia="宋体"/>
                <w:sz w:val="24"/>
                <w:szCs w:val="24"/>
                <w:lang w:eastAsia="zh-CN"/>
                <w:woUserID w:val="2"/>
              </w:rPr>
              <w:t>开源证券、浙商证券、</w:t>
            </w:r>
            <w:r>
              <w:rPr>
                <w:rFonts w:hint="eastAsia" w:ascii="宋体" w:hAnsi="宋体" w:eastAsia="宋体"/>
                <w:sz w:val="24"/>
                <w:szCs w:val="24"/>
                <w:lang w:val="en-US" w:eastAsia="zh-CN"/>
              </w:rPr>
              <w:t>华泰证券、</w:t>
            </w:r>
            <w:r>
              <w:rPr>
                <w:rFonts w:hint="eastAsia" w:ascii="宋体" w:hAnsi="宋体" w:eastAsia="宋体"/>
                <w:sz w:val="24"/>
                <w:szCs w:val="24"/>
                <w:lang w:val="en-US" w:eastAsia="zh-CN"/>
                <w:woUserID w:val="2"/>
              </w:rPr>
              <w:t>华源证券</w:t>
            </w:r>
            <w:r>
              <w:rPr>
                <w:rFonts w:hint="default" w:ascii="宋体" w:hAnsi="宋体" w:eastAsia="宋体"/>
                <w:sz w:val="24"/>
                <w:szCs w:val="24"/>
                <w:lang w:eastAsia="zh-CN"/>
                <w:woUserID w:val="2"/>
              </w:rPr>
              <w:t>、</w:t>
            </w:r>
            <w:r>
              <w:rPr>
                <w:rFonts w:hint="eastAsia" w:ascii="宋体" w:hAnsi="宋体" w:eastAsia="宋体"/>
                <w:sz w:val="24"/>
                <w:szCs w:val="24"/>
                <w:lang w:val="en-US" w:eastAsia="zh-CN"/>
                <w:woUserID w:val="2"/>
              </w:rPr>
              <w:t>华西证券、中欧基金、</w:t>
            </w:r>
            <w:r>
              <w:rPr>
                <w:rFonts w:hint="eastAsia" w:ascii="宋体" w:hAnsi="宋体" w:eastAsia="宋体"/>
                <w:sz w:val="24"/>
                <w:szCs w:val="24"/>
                <w:lang w:val="en-US" w:eastAsia="zh-CN"/>
              </w:rPr>
              <w:t>嘉实基金、东方红、</w:t>
            </w:r>
            <w:r>
              <w:rPr>
                <w:rFonts w:hint="default" w:ascii="宋体" w:hAnsi="宋体" w:eastAsia="宋体"/>
                <w:sz w:val="24"/>
                <w:szCs w:val="24"/>
                <w:lang w:eastAsia="zh-CN"/>
                <w:woUserID w:val="2"/>
              </w:rPr>
              <w:t>高毅资产、</w:t>
            </w:r>
            <w:r>
              <w:rPr>
                <w:rFonts w:hint="eastAsia" w:ascii="宋体" w:hAnsi="宋体" w:eastAsia="宋体"/>
                <w:sz w:val="24"/>
                <w:szCs w:val="24"/>
                <w:lang w:val="en-US" w:eastAsia="zh-CN"/>
              </w:rPr>
              <w:t>中交资本、</w:t>
            </w:r>
            <w:r>
              <w:rPr>
                <w:rFonts w:hint="default" w:ascii="宋体" w:hAnsi="宋体" w:eastAsia="宋体"/>
                <w:sz w:val="24"/>
                <w:szCs w:val="24"/>
                <w:lang w:eastAsia="zh-CN"/>
                <w:woUserID w:val="2"/>
              </w:rPr>
              <w:t>国寿安保、银叶投资、仁桥投资、凯联资本</w:t>
            </w:r>
            <w:r>
              <w:rPr>
                <w:rFonts w:hint="eastAsia" w:ascii="宋体" w:hAnsi="宋体" w:eastAsia="宋体"/>
                <w:sz w:val="24"/>
                <w:szCs w:val="24"/>
              </w:rPr>
              <w:t>等</w:t>
            </w:r>
            <w:r>
              <w:rPr>
                <w:rFonts w:hint="default" w:ascii="宋体" w:hAnsi="宋体" w:eastAsia="宋体"/>
                <w:sz w:val="24"/>
                <w:szCs w:val="24"/>
                <w:woUserID w:val="2"/>
              </w:rPr>
              <w:t>20+</w:t>
            </w:r>
            <w:r>
              <w:rPr>
                <w:rFonts w:hint="eastAsia" w:ascii="宋体" w:hAnsi="宋体" w:eastAsia="宋体"/>
                <w:sz w:val="24"/>
                <w:szCs w:val="24"/>
              </w:rPr>
              <w:t>机构</w:t>
            </w:r>
            <w:r>
              <w:rPr>
                <w:rFonts w:hint="default" w:ascii="宋体" w:hAnsi="宋体" w:eastAsia="宋体"/>
                <w:sz w:val="24"/>
                <w:szCs w:val="24"/>
                <w:woUserID w:val="1"/>
              </w:rPr>
              <w:t>/券商</w:t>
            </w:r>
          </w:p>
        </w:tc>
      </w:tr>
      <w:tr w14:paraId="7CD6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FF9F725">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地点</w:t>
            </w:r>
          </w:p>
        </w:tc>
        <w:tc>
          <w:tcPr>
            <w:tcW w:w="6741" w:type="dxa"/>
            <w:vAlign w:val="center"/>
          </w:tcPr>
          <w:p w14:paraId="4B8ADC0B">
            <w:pPr>
              <w:keepNext w:val="0"/>
              <w:keepLines w:val="0"/>
              <w:suppressLineNumbers w:val="0"/>
              <w:spacing w:before="156" w:beforeLines="50" w:beforeAutospacing="0" w:after="156" w:afterLines="50" w:afterAutospacing="0" w:line="300" w:lineRule="auto"/>
              <w:ind w:left="0" w:right="0"/>
              <w:rPr>
                <w:rFonts w:hint="default" w:ascii="宋体" w:hAnsi="宋体" w:eastAsia="宋体"/>
                <w:sz w:val="24"/>
                <w:szCs w:val="24"/>
                <w:woUserID w:val="2"/>
              </w:rPr>
            </w:pPr>
            <w:r>
              <w:rPr>
                <w:rFonts w:hint="eastAsia" w:ascii="宋体" w:hAnsi="宋体" w:eastAsia="宋体"/>
                <w:sz w:val="24"/>
                <w:szCs w:val="24"/>
              </w:rPr>
              <w:t>公司会议室</w:t>
            </w:r>
            <w:r>
              <w:rPr>
                <w:rFonts w:hint="default" w:ascii="宋体" w:hAnsi="宋体" w:eastAsia="宋体"/>
                <w:sz w:val="24"/>
                <w:szCs w:val="24"/>
                <w:woUserID w:val="2"/>
              </w:rPr>
              <w:t>等</w:t>
            </w:r>
          </w:p>
        </w:tc>
      </w:tr>
      <w:tr w14:paraId="50DC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BBA62DC">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上市公司接待人员</w:t>
            </w:r>
          </w:p>
        </w:tc>
        <w:tc>
          <w:tcPr>
            <w:tcW w:w="6741" w:type="dxa"/>
            <w:vAlign w:val="center"/>
          </w:tcPr>
          <w:p w14:paraId="26D89BBB">
            <w:pPr>
              <w:keepNext w:val="0"/>
              <w:keepLines w:val="0"/>
              <w:suppressLineNumbers w:val="0"/>
              <w:spacing w:before="156" w:beforeLines="50" w:beforeAutospacing="0" w:after="156" w:afterLines="50" w:afterAutospacing="0" w:line="300" w:lineRule="auto"/>
              <w:ind w:left="0" w:right="0"/>
              <w:rPr>
                <w:rFonts w:hint="eastAsia" w:ascii="宋体" w:hAnsi="宋体" w:eastAsia="宋体"/>
                <w:sz w:val="24"/>
                <w:szCs w:val="24"/>
              </w:rPr>
            </w:pPr>
            <w:r>
              <w:rPr>
                <w:rFonts w:hint="eastAsia" w:ascii="宋体" w:hAnsi="宋体" w:eastAsia="宋体"/>
                <w:sz w:val="24"/>
                <w:szCs w:val="24"/>
                <w:lang w:val="en-US" w:eastAsia="zh-CN"/>
              </w:rPr>
              <w:t>副总工程师、发电及用电业务总经理</w:t>
            </w:r>
            <w:bookmarkStart w:id="0" w:name="_GoBack"/>
            <w:bookmarkEnd w:id="0"/>
            <w:r>
              <w:rPr>
                <w:rFonts w:hint="eastAsia" w:ascii="宋体" w:hAnsi="宋体" w:eastAsia="宋体"/>
                <w:sz w:val="24"/>
                <w:szCs w:val="24"/>
                <w:lang w:val="en-US" w:eastAsia="zh-CN"/>
              </w:rPr>
              <w:t>、</w:t>
            </w:r>
            <w:r>
              <w:rPr>
                <w:rFonts w:hint="eastAsia" w:ascii="宋体" w:hAnsi="宋体" w:eastAsia="宋体"/>
                <w:sz w:val="24"/>
                <w:szCs w:val="24"/>
              </w:rPr>
              <w:t>董事会秘书</w:t>
            </w:r>
            <w:r>
              <w:rPr>
                <w:rFonts w:hint="eastAsia" w:ascii="宋体" w:hAnsi="宋体" w:eastAsia="宋体"/>
                <w:sz w:val="24"/>
                <w:szCs w:val="24"/>
                <w:lang w:val="en-US" w:eastAsia="zh-CN"/>
              </w:rPr>
              <w:t>、</w:t>
            </w:r>
            <w:r>
              <w:rPr>
                <w:rFonts w:hint="eastAsia" w:ascii="宋体" w:hAnsi="宋体" w:eastAsia="宋体"/>
                <w:sz w:val="24"/>
                <w:szCs w:val="24"/>
              </w:rPr>
              <w:t>证券事务代表</w:t>
            </w:r>
          </w:p>
        </w:tc>
      </w:tr>
      <w:tr w14:paraId="683C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FC8D318">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投资者关系活动主要内容介绍</w:t>
            </w:r>
          </w:p>
        </w:tc>
        <w:tc>
          <w:tcPr>
            <w:tcW w:w="6741" w:type="dxa"/>
            <w:vAlign w:val="center"/>
          </w:tcPr>
          <w:p w14:paraId="5604794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Q1: </w:t>
            </w:r>
            <w:r>
              <w:rPr>
                <w:rFonts w:hint="default" w:ascii="Times New Roman" w:hAnsi="Times New Roman" w:eastAsia="宋体" w:cs="Times New Roman"/>
                <w:b/>
                <w:bCs/>
                <w:sz w:val="24"/>
                <w:szCs w:val="24"/>
                <w:woUserID w:val="2"/>
              </w:rPr>
              <w:t>能源局出台的“136号文”，对公司上半年以及全年的订单有什么样的影响</w:t>
            </w:r>
            <w:r>
              <w:rPr>
                <w:rFonts w:hint="default" w:ascii="Times New Roman" w:hAnsi="Times New Roman" w:eastAsia="宋体" w:cs="Times New Roman"/>
                <w:b/>
                <w:bCs/>
                <w:sz w:val="24"/>
                <w:szCs w:val="24"/>
              </w:rPr>
              <w:t>？</w:t>
            </w:r>
          </w:p>
          <w:p w14:paraId="06F30231">
            <w:pPr>
              <w:pStyle w:val="4"/>
              <w:keepNext w:val="0"/>
              <w:keepLines w:val="0"/>
              <w:widowControl/>
              <w:suppressLineNumbers w:val="0"/>
              <w:spacing w:before="0" w:beforeAutospacing="0" w:after="0" w:afterAutospacing="0" w:line="360" w:lineRule="auto"/>
              <w:ind w:left="0" w:right="0" w:firstLine="0"/>
              <w:jc w:val="left"/>
              <w:rPr>
                <w:rFonts w:hint="default" w:ascii="Times New Roman" w:hAnsi="Times New Roman" w:eastAsia="宋体" w:cs="Times New Roman"/>
                <w:sz w:val="24"/>
                <w:szCs w:val="24"/>
                <w:woUserID w:val="2"/>
              </w:rPr>
            </w:pPr>
            <w:r>
              <w:rPr>
                <w:rFonts w:hint="default" w:ascii="Times New Roman" w:hAnsi="Times New Roman" w:eastAsia="宋体" w:cs="Times New Roman"/>
                <w:b/>
                <w:bCs/>
                <w:sz w:val="24"/>
                <w:szCs w:val="24"/>
              </w:rPr>
              <w:t>A：</w:t>
            </w:r>
            <w:r>
              <w:rPr>
                <w:rFonts w:hint="default" w:ascii="Times New Roman" w:hAnsi="Times New Roman" w:eastAsia="宋体" w:cs="Times New Roman"/>
                <w:b w:val="0"/>
                <w:bCs w:val="0"/>
                <w:sz w:val="24"/>
                <w:szCs w:val="24"/>
                <w:woUserID w:val="2"/>
              </w:rPr>
              <w:t>“136号文”的出台对能源行业具有深远影响，对新能源和储能行业影响更深。市场化电价机制推动新能源发电参与电力市场交易，提升新能源电站的经济性，同时可能会加剧新能源电价波动，间接影响订单节奏。储能业务强配政策松动，但市场化收益模式更趋明确，进一步推动商业化应用。同时，针对电力市场对灵活调节能力提高的需求，公司可以充分发挥智能调度、源网荷储协同控制、构网型技术等方面的优势，进一步深化公司产品应用。上半年可能会出现一定程度的抢装，短期内对新签订单节奏影响较大，长期来看还是趋于稳定。</w:t>
            </w:r>
          </w:p>
          <w:p w14:paraId="6E7CD22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p>
          <w:p w14:paraId="43F59DD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Q2: </w:t>
            </w:r>
            <w:r>
              <w:rPr>
                <w:rFonts w:hint="default" w:ascii="Times New Roman" w:hAnsi="Times New Roman" w:eastAsia="宋体" w:cs="Times New Roman"/>
                <w:b/>
                <w:bCs/>
                <w:sz w:val="24"/>
                <w:szCs w:val="24"/>
                <w:woUserID w:val="2"/>
              </w:rPr>
              <w:t>电网投资不断加大，</w:t>
            </w:r>
            <w:r>
              <w:rPr>
                <w:rFonts w:hint="default" w:ascii="Times New Roman" w:hAnsi="Times New Roman" w:eastAsia="宋体" w:cs="Times New Roman"/>
                <w:b/>
                <w:bCs/>
                <w:sz w:val="24"/>
                <w:szCs w:val="24"/>
              </w:rPr>
              <w:t>公司</w:t>
            </w:r>
            <w:r>
              <w:rPr>
                <w:rFonts w:hint="default" w:ascii="Times New Roman" w:hAnsi="Times New Roman" w:eastAsia="宋体" w:cs="Times New Roman"/>
                <w:b/>
                <w:bCs/>
                <w:sz w:val="24"/>
                <w:szCs w:val="24"/>
                <w:woUserID w:val="2"/>
              </w:rPr>
              <w:t>对配网业务的预期如何</w:t>
            </w:r>
            <w:r>
              <w:rPr>
                <w:rFonts w:hint="default" w:ascii="Times New Roman" w:hAnsi="Times New Roman" w:eastAsia="宋体" w:cs="Times New Roman"/>
                <w:b/>
                <w:bCs/>
                <w:sz w:val="24"/>
                <w:szCs w:val="24"/>
              </w:rPr>
              <w:t>？</w:t>
            </w:r>
          </w:p>
          <w:p w14:paraId="1F5BB6E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woUserID w:val="2"/>
              </w:rPr>
            </w:pPr>
            <w:r>
              <w:rPr>
                <w:rFonts w:hint="default" w:ascii="Times New Roman" w:hAnsi="Times New Roman" w:eastAsia="宋体" w:cs="Times New Roman"/>
                <w:b/>
                <w:bCs/>
                <w:sz w:val="24"/>
                <w:szCs w:val="24"/>
              </w:rPr>
              <w:t>A：</w:t>
            </w:r>
            <w:r>
              <w:rPr>
                <w:rFonts w:hint="default" w:ascii="Times New Roman" w:hAnsi="Times New Roman" w:eastAsia="宋体" w:cs="Times New Roman"/>
                <w:b w:val="0"/>
                <w:bCs w:val="0"/>
                <w:sz w:val="24"/>
                <w:szCs w:val="24"/>
                <w:woUserID w:val="2"/>
              </w:rPr>
              <w:t>配网作为新能源消纳的重要阵地，国家发布了多项配网相关政策。根据国家电网信息，2025年将聚焦优化主电网、补强配电网建设等重点工作。在全面推进配电网数字化转型的进程中，聚焦配电网柔性化、智能化、数字化，实现主配微网多级协同、资源聚合互动等，促进分布式智能电网与大电网融合发展。公司积极把握市场机会，持续加强技术创新，推进一二次融合、综合能源管理、虚拟电厂等技术和产品应用，进一步提升配电产品和整体解决方案的竞争力。同时，公司紧抓行业招标模式变化带来的发展机遇，稳步扩大市场规模。</w:t>
            </w:r>
          </w:p>
          <w:p w14:paraId="2F749A5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p>
          <w:p w14:paraId="434F239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Q3: 公司控股股东减持的</w:t>
            </w:r>
            <w:r>
              <w:rPr>
                <w:rFonts w:hint="eastAsia" w:ascii="Times New Roman" w:hAnsi="Times New Roman" w:eastAsia="宋体" w:cs="Times New Roman"/>
                <w:b/>
                <w:bCs/>
                <w:sz w:val="24"/>
                <w:szCs w:val="24"/>
                <w:lang w:val="en-US" w:eastAsia="zh-CN"/>
              </w:rPr>
              <w:t>原因</w:t>
            </w:r>
            <w:r>
              <w:rPr>
                <w:rFonts w:hint="default" w:ascii="Times New Roman" w:hAnsi="Times New Roman" w:eastAsia="宋体" w:cs="Times New Roman"/>
                <w:b/>
                <w:bCs/>
                <w:sz w:val="24"/>
                <w:szCs w:val="24"/>
              </w:rPr>
              <w:t>？</w:t>
            </w:r>
          </w:p>
          <w:p w14:paraId="66AD7885">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A：</w:t>
            </w:r>
            <w:r>
              <w:rPr>
                <w:rFonts w:hint="default" w:ascii="Times New Roman" w:hAnsi="Times New Roman" w:eastAsia="宋体" w:cs="Times New Roman"/>
                <w:b w:val="0"/>
                <w:bCs w:val="0"/>
                <w:sz w:val="24"/>
                <w:szCs w:val="24"/>
                <w:woUserID w:val="2"/>
              </w:rPr>
              <w:t>长期以来，公司控股股东始终高度重视公司的长远发展，在推动公司业绩增长、保障经营稳健性等方面发挥了重要作用，为公司的持续发展奠定了坚实基础。公司始终坚持以提升经营业绩和内在价值为核心，也将一如既往地专注主业，不断提升核心竞争力，努力以良好的业绩回馈广大投资者，本次减持计划系股东基于其自身资金需求的安排。</w:t>
            </w:r>
          </w:p>
          <w:p w14:paraId="40C47DAF">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p>
          <w:p w14:paraId="7044EEFF">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Q4: 公司海外业务</w:t>
            </w:r>
            <w:r>
              <w:rPr>
                <w:rFonts w:hint="default" w:ascii="Times New Roman" w:hAnsi="Times New Roman" w:eastAsia="宋体" w:cs="Times New Roman"/>
                <w:b/>
                <w:bCs/>
                <w:sz w:val="24"/>
                <w:szCs w:val="24"/>
                <w:woUserID w:val="2"/>
              </w:rPr>
              <w:t>目前进展如何</w:t>
            </w:r>
            <w:r>
              <w:rPr>
                <w:rFonts w:hint="default" w:ascii="Times New Roman" w:hAnsi="Times New Roman" w:eastAsia="宋体" w:cs="Times New Roman"/>
                <w:b/>
                <w:bCs/>
                <w:sz w:val="24"/>
                <w:szCs w:val="24"/>
              </w:rPr>
              <w:t>？</w:t>
            </w:r>
          </w:p>
          <w:p w14:paraId="68666A55">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woUserID w:val="2"/>
              </w:rPr>
            </w:pPr>
            <w:r>
              <w:rPr>
                <w:rFonts w:hint="default" w:ascii="Times New Roman" w:hAnsi="Times New Roman" w:eastAsia="宋体" w:cs="Times New Roman"/>
                <w:b/>
                <w:bCs/>
                <w:sz w:val="24"/>
                <w:szCs w:val="24"/>
              </w:rPr>
              <w:t>A：</w:t>
            </w:r>
            <w:r>
              <w:rPr>
                <w:rFonts w:hint="default" w:ascii="Times New Roman" w:hAnsi="Times New Roman" w:eastAsia="宋体" w:cs="Times New Roman"/>
                <w:sz w:val="24"/>
                <w:szCs w:val="24"/>
                <w:woUserID w:val="2"/>
              </w:rPr>
              <w:t>公司国际业务体量较小，约占整体收入的3%，仍有较大增长空间。公司始终将推进国际化发展战略作为重要发展方向，海外市场布局主要以 “一带一路” 沿线国家为主，并持续深耕东南亚、中东、非洲等市场，积极关注欧洲市场机会。同时，</w:t>
            </w:r>
            <w:r>
              <w:rPr>
                <w:rFonts w:hint="default" w:ascii="Times New Roman" w:hAnsi="Times New Roman" w:eastAsia="宋体" w:cs="Times New Roman"/>
                <w:sz w:val="24"/>
                <w:szCs w:val="24"/>
              </w:rPr>
              <w:t>通过建设本地化团队、加强重点产品的持续拓展、提升产品集成度等方式，</w:t>
            </w:r>
            <w:r>
              <w:rPr>
                <w:rFonts w:hint="default" w:ascii="Times New Roman" w:hAnsi="Times New Roman" w:eastAsia="宋体" w:cs="Times New Roman"/>
                <w:sz w:val="24"/>
                <w:szCs w:val="24"/>
                <w:woUserID w:val="2"/>
              </w:rPr>
              <w:t>目前在东南亚的部分市场有了突破性进展。</w:t>
            </w:r>
          </w:p>
          <w:p w14:paraId="18FB3E9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p>
          <w:p w14:paraId="5486D28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woUserID w:val="2"/>
              </w:rPr>
            </w:pPr>
            <w:r>
              <w:rPr>
                <w:rFonts w:hint="default" w:ascii="Times New Roman" w:hAnsi="Times New Roman" w:eastAsia="宋体" w:cs="Times New Roman"/>
                <w:b/>
                <w:bCs/>
                <w:sz w:val="24"/>
                <w:szCs w:val="24"/>
              </w:rPr>
              <w:t xml:space="preserve">Q5: </w:t>
            </w:r>
            <w:r>
              <w:rPr>
                <w:rFonts w:hint="default" w:ascii="Times New Roman" w:hAnsi="Times New Roman" w:eastAsia="宋体" w:cs="Times New Roman"/>
                <w:b/>
                <w:bCs/>
                <w:sz w:val="24"/>
                <w:szCs w:val="24"/>
                <w:woUserID w:val="2"/>
              </w:rPr>
              <w:t>公司推出了“绿色算力解决方案” ，能展开介绍一下吗？</w:t>
            </w:r>
          </w:p>
          <w:p w14:paraId="40C460CE">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val="0"/>
                <w:bCs w:val="0"/>
                <w:sz w:val="24"/>
                <w:szCs w:val="24"/>
                <w:woUserID w:val="2"/>
              </w:rPr>
            </w:pPr>
            <w:r>
              <w:rPr>
                <w:rFonts w:hint="default" w:ascii="Times New Roman" w:hAnsi="Times New Roman" w:eastAsia="宋体" w:cs="Times New Roman"/>
                <w:b/>
                <w:bCs/>
                <w:sz w:val="24"/>
                <w:szCs w:val="24"/>
                <w:woUserID w:val="2"/>
              </w:rPr>
              <w:t>A：</w:t>
            </w:r>
            <w:r>
              <w:rPr>
                <w:rFonts w:hint="default" w:ascii="Times New Roman" w:hAnsi="Times New Roman" w:eastAsia="宋体" w:cs="Times New Roman"/>
                <w:b w:val="0"/>
                <w:bCs w:val="0"/>
                <w:sz w:val="24"/>
                <w:szCs w:val="24"/>
                <w:woUserID w:val="2"/>
              </w:rPr>
              <w:t>公司创新推出绿色算力整体解决方案，提供新能源发电至算力中心用电全链路的核心装备，构筑端到端低碳闭环。该方案采用智慧全景监控、动态精准控制、多级优化调度、智能交易辅助等关键技术，以AI赋能的绿色算力协调控制系统为核心引擎，通过“源-网-荷-储”多维资源动态协调，实现算力中心供电系统的优化控制，促进供需两端精准匹配，提高算力中心绿电利用率，实现算力中心绿色化、智能化的核心需求，目前该方案的应用案例正在稳步推进中。</w:t>
            </w:r>
          </w:p>
          <w:p w14:paraId="38D40943">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val="0"/>
                <w:bCs w:val="0"/>
                <w:sz w:val="24"/>
                <w:szCs w:val="24"/>
                <w:woUserID w:val="2"/>
              </w:rPr>
            </w:pPr>
          </w:p>
          <w:p w14:paraId="19867AD9">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Q6: 公司AIDC进展如何？</w:t>
            </w:r>
          </w:p>
          <w:p w14:paraId="1287FBA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A：</w:t>
            </w:r>
            <w:r>
              <w:rPr>
                <w:rFonts w:hint="default" w:ascii="Times New Roman" w:hAnsi="Times New Roman" w:eastAsia="宋体" w:cs="Times New Roman"/>
                <w:sz w:val="24"/>
                <w:szCs w:val="24"/>
              </w:rPr>
              <w:t>公司长期深耕柔性直流输/配电技术，参与多项国家级重点工程，积累了大量柔性直流技术，形成了交直变换、直直变换、多端口能量路由器等电源装置，以及能量管理系统、直流控制保护系统。基于近年数据中心的快速发展，公司已将相关技术应用于此领域，并先后参与吴江区庞东中心站站区四通一平工程数据中心专用直流变压器成套、广东东莞交直流混合的分布式可再生能源技术国家重点专项东莞（数据中心示范点）示范工程等重点项目，形成了以电力电子产品为核心的系列化解决方案，可以为数据中心提供10kV柔性互联装置以适配数据中心用峰谷特性，动态均衡不同楼宇间的负荷，固态变压器则可实现不同直流母线间的能量控制，如实现直流750V-10kV至240V的变换，为服务器直接供电，提高系统运行效率，结合直流控制保护及能量管理系统将数据中心用电负荷与新能源发电系统直联，实现真正的绿色电力。</w:t>
            </w:r>
          </w:p>
        </w:tc>
      </w:tr>
      <w:tr w14:paraId="7CDC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1F7011D">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时间</w:t>
            </w:r>
          </w:p>
        </w:tc>
        <w:tc>
          <w:tcPr>
            <w:tcW w:w="6741" w:type="dxa"/>
            <w:vAlign w:val="center"/>
          </w:tcPr>
          <w:p w14:paraId="3475AB7C">
            <w:pPr>
              <w:keepNext w:val="0"/>
              <w:keepLines w:val="0"/>
              <w:suppressLineNumbers w:val="0"/>
              <w:spacing w:before="156" w:beforeLines="50" w:beforeAutospacing="0" w:after="156" w:afterLines="50" w:afterAutospacing="0" w:line="300" w:lineRule="auto"/>
              <w:ind w:left="0" w:right="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2025年</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月1日——2025年</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31</w:t>
            </w:r>
            <w:r>
              <w:rPr>
                <w:rFonts w:hint="eastAsia" w:ascii="Times New Roman" w:hAnsi="Times New Roman" w:eastAsia="宋体" w:cs="Times New Roman"/>
                <w:sz w:val="24"/>
                <w:szCs w:val="24"/>
              </w:rPr>
              <w:t>日</w:t>
            </w:r>
          </w:p>
        </w:tc>
      </w:tr>
    </w:tbl>
    <w:p w14:paraId="17580CCD">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特此发布。敬请广大投资者注意投资风险，理性投资。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B1"/>
    <w:rsid w:val="00003A3E"/>
    <w:rsid w:val="00030D8E"/>
    <w:rsid w:val="0004504C"/>
    <w:rsid w:val="00073B14"/>
    <w:rsid w:val="000754C7"/>
    <w:rsid w:val="0008270A"/>
    <w:rsid w:val="000858FF"/>
    <w:rsid w:val="00092E1F"/>
    <w:rsid w:val="00094DAA"/>
    <w:rsid w:val="000A0B27"/>
    <w:rsid w:val="000A7E02"/>
    <w:rsid w:val="000B49BB"/>
    <w:rsid w:val="000C344A"/>
    <w:rsid w:val="000C5723"/>
    <w:rsid w:val="000E2A90"/>
    <w:rsid w:val="000E4F30"/>
    <w:rsid w:val="000F0516"/>
    <w:rsid w:val="000F1971"/>
    <w:rsid w:val="000F340B"/>
    <w:rsid w:val="000F3F8A"/>
    <w:rsid w:val="00105239"/>
    <w:rsid w:val="0011479E"/>
    <w:rsid w:val="0012401E"/>
    <w:rsid w:val="00150C02"/>
    <w:rsid w:val="001572B1"/>
    <w:rsid w:val="00161711"/>
    <w:rsid w:val="00162F87"/>
    <w:rsid w:val="00164332"/>
    <w:rsid w:val="00167C02"/>
    <w:rsid w:val="00170230"/>
    <w:rsid w:val="0017261E"/>
    <w:rsid w:val="00173A8B"/>
    <w:rsid w:val="001801D3"/>
    <w:rsid w:val="00181B5D"/>
    <w:rsid w:val="001851F9"/>
    <w:rsid w:val="00186E49"/>
    <w:rsid w:val="00192255"/>
    <w:rsid w:val="001A5771"/>
    <w:rsid w:val="001A62F9"/>
    <w:rsid w:val="001B589D"/>
    <w:rsid w:val="001B74B0"/>
    <w:rsid w:val="001C0B6C"/>
    <w:rsid w:val="001D1079"/>
    <w:rsid w:val="001D33DA"/>
    <w:rsid w:val="001D657B"/>
    <w:rsid w:val="001E217C"/>
    <w:rsid w:val="001E28B7"/>
    <w:rsid w:val="001F2F71"/>
    <w:rsid w:val="001F688E"/>
    <w:rsid w:val="00206A69"/>
    <w:rsid w:val="00210ACF"/>
    <w:rsid w:val="00210C33"/>
    <w:rsid w:val="00213DA1"/>
    <w:rsid w:val="00215A01"/>
    <w:rsid w:val="0021641F"/>
    <w:rsid w:val="00224D32"/>
    <w:rsid w:val="00225136"/>
    <w:rsid w:val="0022732E"/>
    <w:rsid w:val="002435FD"/>
    <w:rsid w:val="00250C47"/>
    <w:rsid w:val="00252AB7"/>
    <w:rsid w:val="00252C29"/>
    <w:rsid w:val="00254569"/>
    <w:rsid w:val="00256A9A"/>
    <w:rsid w:val="00265DD5"/>
    <w:rsid w:val="00282FB7"/>
    <w:rsid w:val="00290432"/>
    <w:rsid w:val="002963A0"/>
    <w:rsid w:val="002A436A"/>
    <w:rsid w:val="002A4375"/>
    <w:rsid w:val="002B0CCD"/>
    <w:rsid w:val="002B1550"/>
    <w:rsid w:val="002C5CC5"/>
    <w:rsid w:val="002C640A"/>
    <w:rsid w:val="002C7341"/>
    <w:rsid w:val="002D1EB5"/>
    <w:rsid w:val="002D3DBE"/>
    <w:rsid w:val="002D4490"/>
    <w:rsid w:val="002D4A05"/>
    <w:rsid w:val="002D5590"/>
    <w:rsid w:val="002D59B7"/>
    <w:rsid w:val="002D6B52"/>
    <w:rsid w:val="002D7201"/>
    <w:rsid w:val="002D7F4C"/>
    <w:rsid w:val="002E4751"/>
    <w:rsid w:val="003042E3"/>
    <w:rsid w:val="00307CB5"/>
    <w:rsid w:val="003144EE"/>
    <w:rsid w:val="00325176"/>
    <w:rsid w:val="00330698"/>
    <w:rsid w:val="00345C04"/>
    <w:rsid w:val="003478EC"/>
    <w:rsid w:val="003713BC"/>
    <w:rsid w:val="00383462"/>
    <w:rsid w:val="003871A9"/>
    <w:rsid w:val="00390403"/>
    <w:rsid w:val="00391BC1"/>
    <w:rsid w:val="003A0823"/>
    <w:rsid w:val="003A72C4"/>
    <w:rsid w:val="003A7C03"/>
    <w:rsid w:val="003B000A"/>
    <w:rsid w:val="003B098F"/>
    <w:rsid w:val="003B4456"/>
    <w:rsid w:val="003C1992"/>
    <w:rsid w:val="003C2D49"/>
    <w:rsid w:val="003C574F"/>
    <w:rsid w:val="003D3603"/>
    <w:rsid w:val="003D5F3C"/>
    <w:rsid w:val="003D6C9F"/>
    <w:rsid w:val="003E38FC"/>
    <w:rsid w:val="003E429A"/>
    <w:rsid w:val="003E5358"/>
    <w:rsid w:val="003E5B0D"/>
    <w:rsid w:val="003E5E1D"/>
    <w:rsid w:val="003F1E1E"/>
    <w:rsid w:val="003F7890"/>
    <w:rsid w:val="004006A3"/>
    <w:rsid w:val="00401AD3"/>
    <w:rsid w:val="00405B05"/>
    <w:rsid w:val="00406A4A"/>
    <w:rsid w:val="00412C70"/>
    <w:rsid w:val="004131B0"/>
    <w:rsid w:val="00422846"/>
    <w:rsid w:val="00436F5E"/>
    <w:rsid w:val="00470637"/>
    <w:rsid w:val="004735AA"/>
    <w:rsid w:val="0047685D"/>
    <w:rsid w:val="00477CEB"/>
    <w:rsid w:val="00481C00"/>
    <w:rsid w:val="00483C85"/>
    <w:rsid w:val="004972B2"/>
    <w:rsid w:val="004A4F63"/>
    <w:rsid w:val="004A5BFC"/>
    <w:rsid w:val="004A65E7"/>
    <w:rsid w:val="004C62BA"/>
    <w:rsid w:val="004C7D68"/>
    <w:rsid w:val="004E15F7"/>
    <w:rsid w:val="004E651F"/>
    <w:rsid w:val="004F2587"/>
    <w:rsid w:val="00500099"/>
    <w:rsid w:val="005018B8"/>
    <w:rsid w:val="00502CFB"/>
    <w:rsid w:val="005052CE"/>
    <w:rsid w:val="00506DB8"/>
    <w:rsid w:val="0052119A"/>
    <w:rsid w:val="00521FE9"/>
    <w:rsid w:val="00522C10"/>
    <w:rsid w:val="0053049B"/>
    <w:rsid w:val="0053276D"/>
    <w:rsid w:val="0054311A"/>
    <w:rsid w:val="00543B93"/>
    <w:rsid w:val="00544832"/>
    <w:rsid w:val="00550318"/>
    <w:rsid w:val="00563C64"/>
    <w:rsid w:val="00581DC0"/>
    <w:rsid w:val="00590932"/>
    <w:rsid w:val="00592C63"/>
    <w:rsid w:val="00594077"/>
    <w:rsid w:val="00597302"/>
    <w:rsid w:val="005A6927"/>
    <w:rsid w:val="005B3EEB"/>
    <w:rsid w:val="005B4CA9"/>
    <w:rsid w:val="005B7046"/>
    <w:rsid w:val="005C2B90"/>
    <w:rsid w:val="005C395F"/>
    <w:rsid w:val="005D1AE6"/>
    <w:rsid w:val="005D31F5"/>
    <w:rsid w:val="005E4598"/>
    <w:rsid w:val="005F3FB8"/>
    <w:rsid w:val="00601767"/>
    <w:rsid w:val="00610261"/>
    <w:rsid w:val="00610D5C"/>
    <w:rsid w:val="00612F3A"/>
    <w:rsid w:val="0061510E"/>
    <w:rsid w:val="00632FB1"/>
    <w:rsid w:val="006432C2"/>
    <w:rsid w:val="0064762F"/>
    <w:rsid w:val="00670D81"/>
    <w:rsid w:val="0068077C"/>
    <w:rsid w:val="0068212A"/>
    <w:rsid w:val="00686819"/>
    <w:rsid w:val="006A1FE1"/>
    <w:rsid w:val="006B030B"/>
    <w:rsid w:val="006B5E5C"/>
    <w:rsid w:val="006C752F"/>
    <w:rsid w:val="006D3564"/>
    <w:rsid w:val="006D7F0B"/>
    <w:rsid w:val="006E0C67"/>
    <w:rsid w:val="006E2F47"/>
    <w:rsid w:val="006F580F"/>
    <w:rsid w:val="0070391F"/>
    <w:rsid w:val="007048DC"/>
    <w:rsid w:val="00705CDD"/>
    <w:rsid w:val="00705FA8"/>
    <w:rsid w:val="0070685E"/>
    <w:rsid w:val="00711674"/>
    <w:rsid w:val="00716495"/>
    <w:rsid w:val="00720BFF"/>
    <w:rsid w:val="00733DD3"/>
    <w:rsid w:val="00737585"/>
    <w:rsid w:val="00744BC8"/>
    <w:rsid w:val="007450D1"/>
    <w:rsid w:val="00746B4F"/>
    <w:rsid w:val="00747117"/>
    <w:rsid w:val="00750B86"/>
    <w:rsid w:val="007542BA"/>
    <w:rsid w:val="00761151"/>
    <w:rsid w:val="00764B40"/>
    <w:rsid w:val="007701C6"/>
    <w:rsid w:val="00773F4C"/>
    <w:rsid w:val="007826FB"/>
    <w:rsid w:val="00784025"/>
    <w:rsid w:val="0079322F"/>
    <w:rsid w:val="00793795"/>
    <w:rsid w:val="00794348"/>
    <w:rsid w:val="00795E2E"/>
    <w:rsid w:val="00797FE5"/>
    <w:rsid w:val="007C453F"/>
    <w:rsid w:val="007C75E2"/>
    <w:rsid w:val="007D03A4"/>
    <w:rsid w:val="007D2E29"/>
    <w:rsid w:val="007E6B57"/>
    <w:rsid w:val="007F139C"/>
    <w:rsid w:val="007F2B99"/>
    <w:rsid w:val="00801FD8"/>
    <w:rsid w:val="0080541B"/>
    <w:rsid w:val="00806F6F"/>
    <w:rsid w:val="00814FDA"/>
    <w:rsid w:val="0081609F"/>
    <w:rsid w:val="008160BF"/>
    <w:rsid w:val="00821CBC"/>
    <w:rsid w:val="008404D7"/>
    <w:rsid w:val="00856D88"/>
    <w:rsid w:val="00867E65"/>
    <w:rsid w:val="00873614"/>
    <w:rsid w:val="00881E8C"/>
    <w:rsid w:val="00882E60"/>
    <w:rsid w:val="00887A4B"/>
    <w:rsid w:val="00894A83"/>
    <w:rsid w:val="00895254"/>
    <w:rsid w:val="008972E2"/>
    <w:rsid w:val="008973B5"/>
    <w:rsid w:val="008A5000"/>
    <w:rsid w:val="008A5480"/>
    <w:rsid w:val="008A5E76"/>
    <w:rsid w:val="008C79DE"/>
    <w:rsid w:val="008D2AAC"/>
    <w:rsid w:val="008D51F7"/>
    <w:rsid w:val="008E2738"/>
    <w:rsid w:val="008E6DBD"/>
    <w:rsid w:val="008E7B0E"/>
    <w:rsid w:val="00904D7A"/>
    <w:rsid w:val="00906AE3"/>
    <w:rsid w:val="009074DD"/>
    <w:rsid w:val="00915448"/>
    <w:rsid w:val="00917D4C"/>
    <w:rsid w:val="00920338"/>
    <w:rsid w:val="00924791"/>
    <w:rsid w:val="00944FF3"/>
    <w:rsid w:val="00955DB9"/>
    <w:rsid w:val="00961284"/>
    <w:rsid w:val="00964965"/>
    <w:rsid w:val="0097014F"/>
    <w:rsid w:val="0099536A"/>
    <w:rsid w:val="00995851"/>
    <w:rsid w:val="00995BB8"/>
    <w:rsid w:val="009A3819"/>
    <w:rsid w:val="009A446D"/>
    <w:rsid w:val="009A5236"/>
    <w:rsid w:val="009A53B4"/>
    <w:rsid w:val="009A5FE0"/>
    <w:rsid w:val="009A602A"/>
    <w:rsid w:val="009A7F7F"/>
    <w:rsid w:val="009B0CA8"/>
    <w:rsid w:val="009B781F"/>
    <w:rsid w:val="009C2972"/>
    <w:rsid w:val="009C560E"/>
    <w:rsid w:val="009D2020"/>
    <w:rsid w:val="009D7E19"/>
    <w:rsid w:val="009E4899"/>
    <w:rsid w:val="009F4BF6"/>
    <w:rsid w:val="009F7638"/>
    <w:rsid w:val="00A00EFA"/>
    <w:rsid w:val="00A025C8"/>
    <w:rsid w:val="00A05FA4"/>
    <w:rsid w:val="00A06B97"/>
    <w:rsid w:val="00A13043"/>
    <w:rsid w:val="00A175BA"/>
    <w:rsid w:val="00A20863"/>
    <w:rsid w:val="00A209AA"/>
    <w:rsid w:val="00A20DE0"/>
    <w:rsid w:val="00A33BAF"/>
    <w:rsid w:val="00A36AE9"/>
    <w:rsid w:val="00A413BA"/>
    <w:rsid w:val="00A56163"/>
    <w:rsid w:val="00A62B5D"/>
    <w:rsid w:val="00A63871"/>
    <w:rsid w:val="00A82BBA"/>
    <w:rsid w:val="00A857FA"/>
    <w:rsid w:val="00A900F6"/>
    <w:rsid w:val="00A90A58"/>
    <w:rsid w:val="00AA0FC3"/>
    <w:rsid w:val="00AA30BB"/>
    <w:rsid w:val="00AA7F89"/>
    <w:rsid w:val="00AB0C39"/>
    <w:rsid w:val="00AB4DC0"/>
    <w:rsid w:val="00AC0C6F"/>
    <w:rsid w:val="00AC4159"/>
    <w:rsid w:val="00AC5E4E"/>
    <w:rsid w:val="00AC6111"/>
    <w:rsid w:val="00AE3E16"/>
    <w:rsid w:val="00AF23F6"/>
    <w:rsid w:val="00B015BA"/>
    <w:rsid w:val="00B12798"/>
    <w:rsid w:val="00B14E98"/>
    <w:rsid w:val="00B1604F"/>
    <w:rsid w:val="00B1690D"/>
    <w:rsid w:val="00B174DD"/>
    <w:rsid w:val="00B2544D"/>
    <w:rsid w:val="00B25643"/>
    <w:rsid w:val="00B30734"/>
    <w:rsid w:val="00B31F44"/>
    <w:rsid w:val="00B42564"/>
    <w:rsid w:val="00B44777"/>
    <w:rsid w:val="00B53F66"/>
    <w:rsid w:val="00B54444"/>
    <w:rsid w:val="00B54987"/>
    <w:rsid w:val="00B55413"/>
    <w:rsid w:val="00B56BD3"/>
    <w:rsid w:val="00B5747E"/>
    <w:rsid w:val="00B6324E"/>
    <w:rsid w:val="00B654DF"/>
    <w:rsid w:val="00B66386"/>
    <w:rsid w:val="00B66914"/>
    <w:rsid w:val="00B73C50"/>
    <w:rsid w:val="00B73E4C"/>
    <w:rsid w:val="00B74417"/>
    <w:rsid w:val="00B77978"/>
    <w:rsid w:val="00B8007B"/>
    <w:rsid w:val="00B84357"/>
    <w:rsid w:val="00B874F7"/>
    <w:rsid w:val="00B877C3"/>
    <w:rsid w:val="00B91FC1"/>
    <w:rsid w:val="00B95549"/>
    <w:rsid w:val="00BA64AF"/>
    <w:rsid w:val="00BD14B9"/>
    <w:rsid w:val="00BD2F25"/>
    <w:rsid w:val="00BE0B8B"/>
    <w:rsid w:val="00BE2622"/>
    <w:rsid w:val="00BF1F86"/>
    <w:rsid w:val="00C0077D"/>
    <w:rsid w:val="00C10139"/>
    <w:rsid w:val="00C11289"/>
    <w:rsid w:val="00C173E0"/>
    <w:rsid w:val="00C24390"/>
    <w:rsid w:val="00C31E80"/>
    <w:rsid w:val="00C33817"/>
    <w:rsid w:val="00C43F1C"/>
    <w:rsid w:val="00C43F58"/>
    <w:rsid w:val="00C705B1"/>
    <w:rsid w:val="00C70601"/>
    <w:rsid w:val="00C71E18"/>
    <w:rsid w:val="00C80465"/>
    <w:rsid w:val="00C8246A"/>
    <w:rsid w:val="00C95A0C"/>
    <w:rsid w:val="00CB69F1"/>
    <w:rsid w:val="00CB7389"/>
    <w:rsid w:val="00CC0F3A"/>
    <w:rsid w:val="00CC3088"/>
    <w:rsid w:val="00CC616A"/>
    <w:rsid w:val="00CC685E"/>
    <w:rsid w:val="00CD575E"/>
    <w:rsid w:val="00CD5DFE"/>
    <w:rsid w:val="00CD661E"/>
    <w:rsid w:val="00CE04F0"/>
    <w:rsid w:val="00CE2C0F"/>
    <w:rsid w:val="00CE34AD"/>
    <w:rsid w:val="00CF329A"/>
    <w:rsid w:val="00CF3A3A"/>
    <w:rsid w:val="00CF592E"/>
    <w:rsid w:val="00D048C2"/>
    <w:rsid w:val="00D05553"/>
    <w:rsid w:val="00D06460"/>
    <w:rsid w:val="00D06F7B"/>
    <w:rsid w:val="00D272B7"/>
    <w:rsid w:val="00D308CD"/>
    <w:rsid w:val="00D30C73"/>
    <w:rsid w:val="00D355A8"/>
    <w:rsid w:val="00D36D68"/>
    <w:rsid w:val="00D3763A"/>
    <w:rsid w:val="00D547B4"/>
    <w:rsid w:val="00D621C3"/>
    <w:rsid w:val="00D66BCF"/>
    <w:rsid w:val="00D74CBC"/>
    <w:rsid w:val="00D860EE"/>
    <w:rsid w:val="00DA4B0B"/>
    <w:rsid w:val="00DA6CF7"/>
    <w:rsid w:val="00DB0950"/>
    <w:rsid w:val="00DB6148"/>
    <w:rsid w:val="00DD0A0D"/>
    <w:rsid w:val="00DD3067"/>
    <w:rsid w:val="00DE49F7"/>
    <w:rsid w:val="00DE542F"/>
    <w:rsid w:val="00DE68D8"/>
    <w:rsid w:val="00DE7DE3"/>
    <w:rsid w:val="00DF04AE"/>
    <w:rsid w:val="00DF103E"/>
    <w:rsid w:val="00DF1640"/>
    <w:rsid w:val="00DF2DD2"/>
    <w:rsid w:val="00DF6944"/>
    <w:rsid w:val="00E00783"/>
    <w:rsid w:val="00E40424"/>
    <w:rsid w:val="00E43D20"/>
    <w:rsid w:val="00E470ED"/>
    <w:rsid w:val="00E56C5F"/>
    <w:rsid w:val="00E57EB9"/>
    <w:rsid w:val="00E711B5"/>
    <w:rsid w:val="00E7768A"/>
    <w:rsid w:val="00E825B8"/>
    <w:rsid w:val="00E903DE"/>
    <w:rsid w:val="00E9543C"/>
    <w:rsid w:val="00EA2E90"/>
    <w:rsid w:val="00EA3116"/>
    <w:rsid w:val="00EA4342"/>
    <w:rsid w:val="00EA5031"/>
    <w:rsid w:val="00EA7879"/>
    <w:rsid w:val="00EB5318"/>
    <w:rsid w:val="00EB536B"/>
    <w:rsid w:val="00ED27D4"/>
    <w:rsid w:val="00ED3800"/>
    <w:rsid w:val="00EE2058"/>
    <w:rsid w:val="00EE693B"/>
    <w:rsid w:val="00EF0D3F"/>
    <w:rsid w:val="00EF10F1"/>
    <w:rsid w:val="00EF21FE"/>
    <w:rsid w:val="00EF6BA0"/>
    <w:rsid w:val="00EF7EFB"/>
    <w:rsid w:val="00F017A3"/>
    <w:rsid w:val="00F047CE"/>
    <w:rsid w:val="00F13E15"/>
    <w:rsid w:val="00F23C67"/>
    <w:rsid w:val="00F2576F"/>
    <w:rsid w:val="00F26B12"/>
    <w:rsid w:val="00F31FEA"/>
    <w:rsid w:val="00F476E8"/>
    <w:rsid w:val="00F5713C"/>
    <w:rsid w:val="00F60647"/>
    <w:rsid w:val="00F704BF"/>
    <w:rsid w:val="00F713B1"/>
    <w:rsid w:val="00F71CD6"/>
    <w:rsid w:val="00F750BE"/>
    <w:rsid w:val="00F75388"/>
    <w:rsid w:val="00F80521"/>
    <w:rsid w:val="00F84D35"/>
    <w:rsid w:val="00F8633B"/>
    <w:rsid w:val="00F9266B"/>
    <w:rsid w:val="00F94756"/>
    <w:rsid w:val="00FA0894"/>
    <w:rsid w:val="00FA090B"/>
    <w:rsid w:val="00FA152D"/>
    <w:rsid w:val="00FA600B"/>
    <w:rsid w:val="00FA6733"/>
    <w:rsid w:val="00FC4BE5"/>
    <w:rsid w:val="00FC7FF4"/>
    <w:rsid w:val="00FD746D"/>
    <w:rsid w:val="00FE37E0"/>
    <w:rsid w:val="00FE5EAF"/>
    <w:rsid w:val="00FE76C8"/>
    <w:rsid w:val="00FE7EEE"/>
    <w:rsid w:val="00FF651C"/>
    <w:rsid w:val="028B18FB"/>
    <w:rsid w:val="09B94F9F"/>
    <w:rsid w:val="0BFBFAAA"/>
    <w:rsid w:val="0CC51EAD"/>
    <w:rsid w:val="0EB6471F"/>
    <w:rsid w:val="0F7C4064"/>
    <w:rsid w:val="117E41D3"/>
    <w:rsid w:val="121216F1"/>
    <w:rsid w:val="147D4A90"/>
    <w:rsid w:val="14A14FAE"/>
    <w:rsid w:val="15B80793"/>
    <w:rsid w:val="15D26F32"/>
    <w:rsid w:val="16D36F75"/>
    <w:rsid w:val="1BB9498B"/>
    <w:rsid w:val="1DFB12EB"/>
    <w:rsid w:val="1E3BF0DA"/>
    <w:rsid w:val="1E974C77"/>
    <w:rsid w:val="1F2C2D5F"/>
    <w:rsid w:val="1FA92F69"/>
    <w:rsid w:val="22F10EAE"/>
    <w:rsid w:val="23FA1B4B"/>
    <w:rsid w:val="2ABC4498"/>
    <w:rsid w:val="2B9238D6"/>
    <w:rsid w:val="2BE850F4"/>
    <w:rsid w:val="2D261455"/>
    <w:rsid w:val="2D9318EA"/>
    <w:rsid w:val="2EEE5640"/>
    <w:rsid w:val="31D070A7"/>
    <w:rsid w:val="33353039"/>
    <w:rsid w:val="34867D43"/>
    <w:rsid w:val="35D72DDF"/>
    <w:rsid w:val="3742355C"/>
    <w:rsid w:val="3AAB3F75"/>
    <w:rsid w:val="3C6F3118"/>
    <w:rsid w:val="3C8039B1"/>
    <w:rsid w:val="3D017677"/>
    <w:rsid w:val="3D9B33F2"/>
    <w:rsid w:val="3DE6F019"/>
    <w:rsid w:val="3EED0D19"/>
    <w:rsid w:val="3F7FA137"/>
    <w:rsid w:val="402A2B77"/>
    <w:rsid w:val="40933B51"/>
    <w:rsid w:val="42693F02"/>
    <w:rsid w:val="42695622"/>
    <w:rsid w:val="42D73111"/>
    <w:rsid w:val="42E268CE"/>
    <w:rsid w:val="4A1D3A8C"/>
    <w:rsid w:val="4AD12446"/>
    <w:rsid w:val="4ADD35DB"/>
    <w:rsid w:val="4BED4C7B"/>
    <w:rsid w:val="4D2A29AE"/>
    <w:rsid w:val="4DFF6959"/>
    <w:rsid w:val="4FE6773D"/>
    <w:rsid w:val="50112E5F"/>
    <w:rsid w:val="50391857"/>
    <w:rsid w:val="56986138"/>
    <w:rsid w:val="56FF174F"/>
    <w:rsid w:val="57883DC5"/>
    <w:rsid w:val="582D6ECD"/>
    <w:rsid w:val="58433BC3"/>
    <w:rsid w:val="5A3E7F6B"/>
    <w:rsid w:val="5BEE2A2D"/>
    <w:rsid w:val="5BFD4B61"/>
    <w:rsid w:val="5C3B496D"/>
    <w:rsid w:val="5DA10786"/>
    <w:rsid w:val="5DBD47E8"/>
    <w:rsid w:val="5DD906CC"/>
    <w:rsid w:val="5E766837"/>
    <w:rsid w:val="5EEA09A8"/>
    <w:rsid w:val="5FB711F3"/>
    <w:rsid w:val="5FE8720C"/>
    <w:rsid w:val="604E1113"/>
    <w:rsid w:val="61696FB2"/>
    <w:rsid w:val="62F12D86"/>
    <w:rsid w:val="63DD3261"/>
    <w:rsid w:val="64075BDA"/>
    <w:rsid w:val="65827169"/>
    <w:rsid w:val="66F703CC"/>
    <w:rsid w:val="68AD73E4"/>
    <w:rsid w:val="6A52203C"/>
    <w:rsid w:val="6CFEC4DC"/>
    <w:rsid w:val="6EE7ADAF"/>
    <w:rsid w:val="6F2F2072"/>
    <w:rsid w:val="70E77AE2"/>
    <w:rsid w:val="71164BAB"/>
    <w:rsid w:val="72BF6E30"/>
    <w:rsid w:val="736F2F6C"/>
    <w:rsid w:val="738E51DF"/>
    <w:rsid w:val="73BFEAD0"/>
    <w:rsid w:val="741FC724"/>
    <w:rsid w:val="74546174"/>
    <w:rsid w:val="7479E77C"/>
    <w:rsid w:val="757C7081"/>
    <w:rsid w:val="76420A34"/>
    <w:rsid w:val="77D238E5"/>
    <w:rsid w:val="77EE41A8"/>
    <w:rsid w:val="77FFA9B4"/>
    <w:rsid w:val="7A6390F1"/>
    <w:rsid w:val="7B8228A1"/>
    <w:rsid w:val="7BB3A749"/>
    <w:rsid w:val="7BDF910D"/>
    <w:rsid w:val="7C2A605D"/>
    <w:rsid w:val="7CE612DD"/>
    <w:rsid w:val="7EE54B20"/>
    <w:rsid w:val="7F7211B1"/>
    <w:rsid w:val="7FDFEE12"/>
    <w:rsid w:val="7FF8DCFF"/>
    <w:rsid w:val="7FFB2D61"/>
    <w:rsid w:val="9E5D5468"/>
    <w:rsid w:val="AFDB387C"/>
    <w:rsid w:val="BFFB478C"/>
    <w:rsid w:val="CFFA544B"/>
    <w:rsid w:val="D5CF1924"/>
    <w:rsid w:val="DAB79E35"/>
    <w:rsid w:val="DF5B7DBF"/>
    <w:rsid w:val="DFB7F630"/>
    <w:rsid w:val="DFF3FF19"/>
    <w:rsid w:val="F9FBA920"/>
    <w:rsid w:val="FAF78A88"/>
    <w:rsid w:val="FBAB11D8"/>
    <w:rsid w:val="FBB79D8F"/>
    <w:rsid w:val="FEB20FE4"/>
    <w:rsid w:val="FFBD98DC"/>
    <w:rsid w:val="FFD719EE"/>
    <w:rsid w:val="FFDF03EA"/>
    <w:rsid w:val="FFF7A456"/>
    <w:rsid w:val="FFF93317"/>
    <w:rsid w:val="FFFEAC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emailstyle15"/>
    <w:basedOn w:val="7"/>
    <w:qFormat/>
    <w:uiPriority w:val="0"/>
    <w:rPr>
      <w:rFonts w:hint="eastAsia" w:ascii="等线" w:hAnsi="等线" w:eastAsia="等线" w:cs="Times New Roman"/>
      <w:color w:val="auto"/>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1792</Words>
  <Characters>1849</Characters>
  <Lines>11</Lines>
  <Paragraphs>3</Paragraphs>
  <TotalTime>0</TotalTime>
  <ScaleCrop>false</ScaleCrop>
  <LinksUpToDate>false</LinksUpToDate>
  <CharactersWithSpaces>1906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2024-03-31T18:13:00Z</dcterms:created>
  <dc:creator>秦誉文</dc:creator>
  <cp:lastModifiedBy>Yu Fan</cp:lastModifiedBy>
  <dcterms:modified xsi:type="dcterms:W3CDTF">2025-05-26T05:49:51Z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eyJoZGlkIjoiOWNhZjVkOGM4MzRkZDQ2Y2IyZjIyODljYjcyOGJhYjciLCJ1c2VySWQiOiIyNTYzMDc2NDQifQ==</vt:lpwstr>
  </property>
  <property fmtid="{D5CDD505-2E9C-101B-9397-08002B2CF9AE}" pid="4" name="ICV">
    <vt:lpwstr>B52BA013761B46F4BB585B9FE29F8397_12</vt:lpwstr>
  </property>
</Properties>
</file>