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5</w:t>
      </w:r>
      <w:r>
        <w:rPr>
          <w:rFonts w:hint="eastAsia" w:ascii="黑体" w:hAnsi="黑体" w:eastAsia="黑体"/>
          <w:b/>
          <w:sz w:val="36"/>
          <w:szCs w:val="32"/>
          <w:lang w:eastAsia="zh-CN"/>
        </w:rPr>
        <w:t>年</w:t>
      </w:r>
      <w:r>
        <w:rPr>
          <w:rFonts w:hint="eastAsia" w:ascii="黑体" w:hAnsi="黑体" w:eastAsia="黑体"/>
          <w:b/>
          <w:sz w:val="36"/>
          <w:szCs w:val="32"/>
          <w:lang w:val="en-US" w:eastAsia="zh-CN"/>
        </w:rPr>
        <w:t>4</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次，其中，通过电话等方式与投资者交流</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通过线上会议的方式开展</w:t>
      </w:r>
      <w:r>
        <w:rPr>
          <w:rFonts w:hint="eastAsia" w:ascii="宋体" w:eastAsia="宋体" w:cs="宋体"/>
          <w:color w:val="000000"/>
          <w:sz w:val="24"/>
          <w:szCs w:val="24"/>
          <w:lang w:eastAsia="zh-CN"/>
        </w:rPr>
        <w:t>投资者关系活动</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与长江证券、民生证券、英大证券、国寿安保基金、同泰基金、朱雀基金、博道基金、财通资产管理公司、高毅资产管理公司、源乘投资公司、中银理财、工银理财、磐厚动量（上海）资本管理公司等机构进行交流</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r>
              <w:rPr>
                <w:rFonts w:hint="eastAsia" w:ascii="宋体" w:hAnsi="宋体" w:eastAsia="宋体" w:cs="Times New Roman"/>
                <w:sz w:val="24"/>
                <w:szCs w:val="24"/>
                <w:lang w:val="en-US" w:eastAsia="zh-CN"/>
              </w:rPr>
              <w:t>以线上会议形式</w:t>
            </w:r>
            <w:r>
              <w:rPr>
                <w:rFonts w:hint="eastAsia" w:ascii="宋体" w:hAnsi="宋体"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hint="eastAsia" w:ascii="宋体" w:eastAsia="宋体" w:cs="宋体"/>
                <w:color w:val="000000"/>
                <w:sz w:val="24"/>
                <w:szCs w:val="24"/>
                <w:lang w:eastAsia="zh-CN"/>
              </w:rPr>
            </w:pPr>
            <w:r>
              <w:rPr>
                <w:rFonts w:hint="eastAsia" w:ascii="宋体" w:hAnsi="宋体" w:eastAsia="宋体" w:cs="Times New Roman"/>
                <w:kern w:val="0"/>
                <w:sz w:val="24"/>
                <w:szCs w:val="24"/>
              </w:rPr>
              <w:t>2025年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3日</w:t>
            </w:r>
            <w:r>
              <w:rPr>
                <w:rFonts w:hint="eastAsia" w:ascii="宋体" w:hAnsi="宋体" w:eastAsia="宋体" w:cs="Times New Roman"/>
                <w:sz w:val="24"/>
                <w:szCs w:val="24"/>
                <w:lang w:eastAsia="zh-CN"/>
              </w:rPr>
              <w:t>、</w:t>
            </w:r>
            <w:r>
              <w:rPr>
                <w:rFonts w:hint="eastAsia" w:ascii="宋体" w:hAnsi="宋体" w:eastAsia="宋体" w:cs="Times New Roman"/>
                <w:kern w:val="0"/>
                <w:sz w:val="24"/>
                <w:szCs w:val="24"/>
              </w:rPr>
              <w:t>2025年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24</w:t>
            </w:r>
            <w:r>
              <w:rPr>
                <w:rFonts w:hint="eastAsia" w:ascii="宋体" w:hAnsi="宋体" w:eastAsia="宋体"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lang w:val="en-US" w:eastAsia="zh-CN"/>
              </w:rPr>
              <w:t>1</w:t>
            </w:r>
            <w:r>
              <w:rPr>
                <w:rFonts w:hint="eastAsia" w:ascii="宋体" w:hAnsi="宋体" w:eastAsia="宋体" w:cs="Times New Roman"/>
                <w:b/>
                <w:kern w:val="0"/>
                <w:sz w:val="24"/>
                <w:szCs w:val="24"/>
              </w:rPr>
              <w:t>、问：公司2024年新增的新能源装机量是多少？</w:t>
            </w:r>
          </w:p>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截至2024年12月末，公司新能源发电控股装机容量170万千瓦，同比增长2.41%，主要为新增光伏发电项目4.1万千瓦。另外，报告期内，公司新投运1座电化学储能电站，装机容量10万千瓦/20万千瓦时。</w:t>
            </w:r>
          </w:p>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lang w:val="en-US" w:eastAsia="zh-CN"/>
              </w:rPr>
              <w:t>2</w:t>
            </w:r>
            <w:r>
              <w:rPr>
                <w:rFonts w:hint="eastAsia" w:ascii="宋体" w:hAnsi="宋体" w:eastAsia="宋体" w:cs="Times New Roman"/>
                <w:b/>
                <w:kern w:val="0"/>
                <w:sz w:val="24"/>
                <w:szCs w:val="24"/>
              </w:rPr>
              <w:t>、问：公司参与市场化交易的存量项目，还能拿到补贴电价吗？</w:t>
            </w:r>
          </w:p>
          <w:p>
            <w:pPr>
              <w:keepNext w:val="0"/>
              <w:keepLines w:val="0"/>
              <w:pageBreakBefore w:val="0"/>
              <w:widowControl w:val="0"/>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
                <w:kern w:val="0"/>
                <w:sz w:val="24"/>
                <w:szCs w:val="24"/>
                <w:lang w:val="en-US" w:eastAsia="zh-CN"/>
              </w:rPr>
            </w:pPr>
            <w:r>
              <w:rPr>
                <w:rFonts w:hint="eastAsia" w:ascii="宋体" w:hAnsi="宋体" w:eastAsia="宋体" w:cs="Times New Roman"/>
                <w:b/>
                <w:bCs w:val="0"/>
                <w:kern w:val="0"/>
                <w:sz w:val="24"/>
                <w:szCs w:val="24"/>
              </w:rPr>
              <w:t>答：</w:t>
            </w:r>
            <w:r>
              <w:rPr>
                <w:rFonts w:hint="eastAsia" w:ascii="宋体" w:hAnsi="宋体" w:eastAsia="宋体" w:cs="Times New Roman"/>
                <w:bCs/>
                <w:kern w:val="0"/>
                <w:sz w:val="24"/>
                <w:szCs w:val="24"/>
              </w:rPr>
              <w:t>2024年12月4日，江苏省发改委、能源监管办发布了《关于开展2025年电力市场交易工作的通知》，通知规定，带补贴光伏风电项目参加常规电力交易，补贴政策按照国家规定继续执行。目前，公司在运营的新能源发电项目主要为带补贴项目，公司按照含补贴电价核算售电收入。</w:t>
            </w:r>
          </w:p>
          <w:p>
            <w:pPr>
              <w:keepNext w:val="0"/>
              <w:keepLines w:val="0"/>
              <w:pageBreakBefore w:val="0"/>
              <w:widowControl w:val="0"/>
              <w:kinsoku/>
              <w:wordWrap/>
              <w:overflowPunct/>
              <w:topLinePunct w:val="0"/>
              <w:autoSpaceDE/>
              <w:autoSpaceDN/>
              <w:bidi w:val="0"/>
              <w:adjustRightInd/>
              <w:snapToGrid/>
              <w:spacing w:after="0" w:line="360" w:lineRule="auto"/>
              <w:ind w:firstLine="482"/>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3、问：</w:t>
            </w:r>
            <w:r>
              <w:rPr>
                <w:rFonts w:hint="eastAsia" w:ascii="宋体" w:hAnsi="宋体" w:eastAsia="宋体" w:cs="Times New Roman"/>
                <w:b/>
                <w:kern w:val="0"/>
                <w:sz w:val="24"/>
                <w:szCs w:val="24"/>
                <w:lang w:val="en-US" w:eastAsia="zh-CN"/>
              </w:rPr>
              <w:t>公司</w:t>
            </w:r>
            <w:r>
              <w:rPr>
                <w:rFonts w:hint="eastAsia" w:ascii="宋体" w:hAnsi="宋体" w:eastAsia="宋体" w:cs="Times New Roman"/>
                <w:b/>
                <w:kern w:val="0"/>
                <w:sz w:val="24"/>
                <w:szCs w:val="24"/>
              </w:rPr>
              <w:t>连云港云台渔光互补项目的电价预计是多少？</w:t>
            </w:r>
          </w:p>
          <w:p>
            <w:pPr>
              <w:keepNext w:val="0"/>
              <w:keepLines w:val="0"/>
              <w:pageBreakBefore w:val="0"/>
              <w:widowControl w:val="0"/>
              <w:kinsoku/>
              <w:wordWrap/>
              <w:overflowPunct/>
              <w:topLinePunct w:val="0"/>
              <w:autoSpaceDE/>
              <w:autoSpaceDN/>
              <w:bidi w:val="0"/>
              <w:adjustRightInd/>
              <w:snapToGrid/>
              <w:spacing w:after="0" w:line="360" w:lineRule="auto"/>
              <w:ind w:firstLine="482"/>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根据国家发改委、能源局印发的《关于深化新能源上网电价市场化改革 促进新能源高质量发展的通知》，要求新能源项目上网电量原则上全部进入电力市场，上网电价通过市场交易形成，并提出要建立新能源可持续发展价格结算机制，同时，通知要求各地要在2025年底前出台并实施具体方案。截至目前，公司连云港云台渔光互补项目仍处于建设期，未来该项目参与电力市场交易电价可能受到江苏省后续出台的相关方案和市场行情等多种因素影响，暂无法预计。</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Times New Roman"/>
                <w:b/>
                <w:bCs w:val="0"/>
                <w:kern w:val="0"/>
                <w:sz w:val="24"/>
                <w:szCs w:val="24"/>
                <w:lang w:val="en-US" w:eastAsia="zh-CN"/>
              </w:rPr>
              <w:t>4</w:t>
            </w:r>
            <w:r>
              <w:rPr>
                <w:rFonts w:hint="eastAsia" w:ascii="宋体" w:hAnsi="宋体" w:eastAsia="宋体" w:cs="Times New Roman"/>
                <w:b/>
                <w:bCs w:val="0"/>
                <w:kern w:val="0"/>
                <w:sz w:val="24"/>
                <w:szCs w:val="24"/>
              </w:rPr>
              <w:t>、问：请介绍公司投资的独立储能电站的收益情况？未来是否会扩大储能投资？</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bCs w:val="0"/>
                <w:kern w:val="0"/>
                <w:sz w:val="24"/>
                <w:szCs w:val="24"/>
              </w:rPr>
              <w:t>答：</w:t>
            </w:r>
            <w:r>
              <w:rPr>
                <w:rFonts w:hint="eastAsia" w:ascii="宋体" w:hAnsi="宋体" w:eastAsia="宋体" w:cs="Times New Roman"/>
                <w:bCs/>
                <w:kern w:val="0"/>
                <w:sz w:val="24"/>
                <w:szCs w:val="24"/>
              </w:rPr>
              <w:t>2024年6月，公司首个新型储能项目（国信盐城储能项目）实现投运。截至2024年底，该项目实现主营业收入3,319.76万元，主营业成本1,728.21万元。此外，2025年3月，公司投资的国信溧阳储能电站项目正式开工。未来，公司将根据实际需要配置储能。</w:t>
            </w:r>
          </w:p>
          <w:p>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7" w:firstLine="437"/>
              <w:jc w:val="left"/>
              <w:textAlignment w:val="auto"/>
              <w:rPr>
                <w:rFonts w:ascii="宋体" w:hAnsi="宋体" w:eastAsia="宋体" w:cs="Times New Roman"/>
                <w:b/>
                <w:kern w:val="0"/>
                <w:sz w:val="24"/>
                <w:szCs w:val="24"/>
              </w:rPr>
            </w:pPr>
            <w:bookmarkStart w:id="0" w:name="OLE_LINK6"/>
            <w:r>
              <w:rPr>
                <w:rFonts w:hint="eastAsia" w:ascii="宋体" w:hAnsi="宋体" w:eastAsia="宋体" w:cs="Times New Roman"/>
                <w:b/>
                <w:kern w:val="0"/>
                <w:sz w:val="24"/>
                <w:szCs w:val="24"/>
              </w:rPr>
              <w:t>问：公司综合资金成本还有下降的空间吗？</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公司主要通过银行贷款、融资租赁等方式解决融资事项，公司新增银行长期贷款利率一般在同期限</w:t>
            </w:r>
            <w:r>
              <w:rPr>
                <w:rFonts w:ascii="宋体" w:hAnsi="宋体" w:eastAsia="宋体" w:cs="Times New Roman"/>
                <w:bCs/>
                <w:kern w:val="0"/>
                <w:sz w:val="24"/>
                <w:szCs w:val="24"/>
              </w:rPr>
              <w:t>LPR的基础上有一定下浮。针对部分利率相对较高的贷款，已有序开展置换工作，未来公司资金成本主要跟随LPR波动。</w:t>
            </w:r>
            <w:bookmarkEnd w:id="0"/>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Times New Roman"/>
                <w:b/>
                <w:bCs w:val="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CE405"/>
    <w:multiLevelType w:val="singleLevel"/>
    <w:tmpl w:val="3C0CE405"/>
    <w:lvl w:ilvl="0" w:tentative="0">
      <w:start w:val="5"/>
      <w:numFmt w:val="decimal"/>
      <w:suff w:val="nothing"/>
      <w:lvlText w:val="%1、"/>
      <w:lvlJc w:val="left"/>
      <w:pPr>
        <w:ind w:left="-15"/>
      </w:pPr>
    </w:lvl>
  </w:abstractNum>
  <w:abstractNum w:abstractNumId="1">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4D01847"/>
    <w:rsid w:val="091E2BA4"/>
    <w:rsid w:val="0926126E"/>
    <w:rsid w:val="09534007"/>
    <w:rsid w:val="09AA14C8"/>
    <w:rsid w:val="0A854D0D"/>
    <w:rsid w:val="0B68541F"/>
    <w:rsid w:val="0DB937C0"/>
    <w:rsid w:val="0F3924B5"/>
    <w:rsid w:val="14765E23"/>
    <w:rsid w:val="14863CD0"/>
    <w:rsid w:val="14F7363C"/>
    <w:rsid w:val="176E7346"/>
    <w:rsid w:val="187B3106"/>
    <w:rsid w:val="192E77AB"/>
    <w:rsid w:val="1A402B0B"/>
    <w:rsid w:val="1BC82032"/>
    <w:rsid w:val="1C2A3766"/>
    <w:rsid w:val="1C5715A6"/>
    <w:rsid w:val="1C9012F0"/>
    <w:rsid w:val="1C9846E4"/>
    <w:rsid w:val="1CBA7BDA"/>
    <w:rsid w:val="1D3F1C50"/>
    <w:rsid w:val="1D99384E"/>
    <w:rsid w:val="21B35837"/>
    <w:rsid w:val="22BB6D4C"/>
    <w:rsid w:val="23604265"/>
    <w:rsid w:val="23CB213F"/>
    <w:rsid w:val="273450F7"/>
    <w:rsid w:val="283600A2"/>
    <w:rsid w:val="294A6D1A"/>
    <w:rsid w:val="29B3565E"/>
    <w:rsid w:val="2C500483"/>
    <w:rsid w:val="2D3601CB"/>
    <w:rsid w:val="304A07DA"/>
    <w:rsid w:val="31380BC3"/>
    <w:rsid w:val="32F64CAC"/>
    <w:rsid w:val="33F516C9"/>
    <w:rsid w:val="368A3234"/>
    <w:rsid w:val="37290AF1"/>
    <w:rsid w:val="37515F68"/>
    <w:rsid w:val="380C78E5"/>
    <w:rsid w:val="394F13FC"/>
    <w:rsid w:val="3B456DB7"/>
    <w:rsid w:val="40894A65"/>
    <w:rsid w:val="40F83CD9"/>
    <w:rsid w:val="42A722F8"/>
    <w:rsid w:val="43467BD9"/>
    <w:rsid w:val="46873C1F"/>
    <w:rsid w:val="47484C91"/>
    <w:rsid w:val="47C12B1D"/>
    <w:rsid w:val="4D6635B4"/>
    <w:rsid w:val="4DE05294"/>
    <w:rsid w:val="4EDE0EB4"/>
    <w:rsid w:val="4EEC42FC"/>
    <w:rsid w:val="4F663D26"/>
    <w:rsid w:val="52450E86"/>
    <w:rsid w:val="53C904EB"/>
    <w:rsid w:val="544873BE"/>
    <w:rsid w:val="551F57F2"/>
    <w:rsid w:val="573B7F57"/>
    <w:rsid w:val="597475D5"/>
    <w:rsid w:val="5A201118"/>
    <w:rsid w:val="5C584C81"/>
    <w:rsid w:val="5F4E7A37"/>
    <w:rsid w:val="5FE87DDD"/>
    <w:rsid w:val="61951BCA"/>
    <w:rsid w:val="61AA0545"/>
    <w:rsid w:val="63FF1BE8"/>
    <w:rsid w:val="65432A59"/>
    <w:rsid w:val="662034EF"/>
    <w:rsid w:val="66DB11B2"/>
    <w:rsid w:val="685C0D5E"/>
    <w:rsid w:val="68FE2FAA"/>
    <w:rsid w:val="6AEB61C5"/>
    <w:rsid w:val="6B511920"/>
    <w:rsid w:val="6C357853"/>
    <w:rsid w:val="6CD31B48"/>
    <w:rsid w:val="6DA615F0"/>
    <w:rsid w:val="6DC37FF3"/>
    <w:rsid w:val="6FE81A79"/>
    <w:rsid w:val="70531492"/>
    <w:rsid w:val="70877807"/>
    <w:rsid w:val="73740AD4"/>
    <w:rsid w:val="73E23F0D"/>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13</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2025-05-30T00:46:51Z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