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BD" w:rsidRDefault="006062AF">
      <w:pPr>
        <w:tabs>
          <w:tab w:val="left" w:pos="3045"/>
          <w:tab w:val="left" w:pos="6285"/>
        </w:tabs>
        <w:spacing w:line="0" w:lineRule="atLeast"/>
        <w:jc w:val="both"/>
        <w:rPr>
          <w:rFonts w:ascii="宋体" w:hAnsi="宋体"/>
          <w:sz w:val="24"/>
          <w:szCs w:val="24"/>
        </w:rPr>
      </w:pPr>
      <w:r>
        <w:rPr>
          <w:rFonts w:ascii="宋体" w:hAnsi="宋体" w:hint="eastAsia"/>
          <w:sz w:val="24"/>
          <w:szCs w:val="24"/>
        </w:rPr>
        <w:t xml:space="preserve">证券代码：603218                                   证券简称：日月股份 </w:t>
      </w:r>
    </w:p>
    <w:p w:rsidR="003B1ABD" w:rsidRDefault="003B1ABD">
      <w:pPr>
        <w:tabs>
          <w:tab w:val="left" w:pos="3045"/>
          <w:tab w:val="left" w:pos="6285"/>
        </w:tabs>
        <w:spacing w:line="0" w:lineRule="atLeast"/>
        <w:ind w:firstLine="472"/>
        <w:rPr>
          <w:rFonts w:ascii="宋体" w:hAnsi="宋体"/>
          <w:sz w:val="24"/>
          <w:szCs w:val="24"/>
        </w:rPr>
      </w:pPr>
    </w:p>
    <w:p w:rsidR="003B1ABD" w:rsidRDefault="006062AF">
      <w:pPr>
        <w:ind w:firstLine="787"/>
        <w:jc w:val="center"/>
        <w:rPr>
          <w:rFonts w:asciiTheme="minorEastAsia" w:hAnsiTheme="minorEastAsia"/>
          <w:b/>
          <w:sz w:val="40"/>
          <w:szCs w:val="40"/>
        </w:rPr>
      </w:pPr>
      <w:r>
        <w:rPr>
          <w:rFonts w:asciiTheme="minorEastAsia" w:hAnsiTheme="minorEastAsia" w:hint="eastAsia"/>
          <w:b/>
          <w:sz w:val="40"/>
          <w:szCs w:val="40"/>
        </w:rPr>
        <w:t>日月重工股份有限公司</w:t>
      </w:r>
    </w:p>
    <w:p w:rsidR="003B1ABD" w:rsidRDefault="006062AF">
      <w:pPr>
        <w:ind w:firstLine="787"/>
        <w:jc w:val="center"/>
        <w:rPr>
          <w:rFonts w:asciiTheme="minorEastAsia" w:hAnsiTheme="minorEastAsia"/>
          <w:b/>
          <w:sz w:val="40"/>
          <w:szCs w:val="40"/>
        </w:rPr>
      </w:pPr>
      <w:r>
        <w:rPr>
          <w:rFonts w:asciiTheme="minorEastAsia" w:hAnsiTheme="minorEastAsia" w:hint="eastAsia"/>
          <w:b/>
          <w:sz w:val="40"/>
          <w:szCs w:val="40"/>
        </w:rPr>
        <w:t>投资者关系活动记录表</w:t>
      </w:r>
    </w:p>
    <w:p w:rsidR="003B1ABD" w:rsidRDefault="003B1ABD">
      <w:pPr>
        <w:tabs>
          <w:tab w:val="left" w:pos="3045"/>
          <w:tab w:val="left" w:pos="6285"/>
        </w:tabs>
        <w:spacing w:line="0" w:lineRule="atLeast"/>
        <w:ind w:firstLine="472"/>
        <w:rPr>
          <w:rFonts w:ascii="宋体" w:hAnsi="宋体"/>
          <w:sz w:val="13"/>
          <w:szCs w:val="13"/>
        </w:rPr>
      </w:pPr>
    </w:p>
    <w:p w:rsidR="003B1ABD" w:rsidRDefault="006062AF">
      <w:pPr>
        <w:tabs>
          <w:tab w:val="left" w:pos="3045"/>
          <w:tab w:val="left" w:pos="6285"/>
        </w:tabs>
        <w:spacing w:line="0" w:lineRule="atLeast"/>
        <w:jc w:val="right"/>
        <w:rPr>
          <w:rFonts w:ascii="宋体" w:hAnsi="宋体"/>
          <w:sz w:val="24"/>
          <w:szCs w:val="24"/>
        </w:rPr>
      </w:pPr>
      <w:r>
        <w:rPr>
          <w:rFonts w:ascii="宋体" w:hAnsi="宋体" w:hint="eastAsia"/>
          <w:sz w:val="24"/>
          <w:szCs w:val="24"/>
        </w:rPr>
        <w:t>编号：202</w:t>
      </w:r>
      <w:r>
        <w:rPr>
          <w:rFonts w:ascii="宋体" w:hAnsi="宋体"/>
          <w:sz w:val="24"/>
          <w:szCs w:val="24"/>
        </w:rPr>
        <w:t>5</w:t>
      </w:r>
      <w:r>
        <w:rPr>
          <w:rFonts w:ascii="宋体" w:hAnsi="宋体" w:hint="eastAsia"/>
          <w:sz w:val="24"/>
          <w:szCs w:val="24"/>
        </w:rPr>
        <w:t>-0</w:t>
      </w:r>
      <w:r>
        <w:rPr>
          <w:rFonts w:ascii="宋体" w:hAnsi="宋体"/>
          <w:sz w:val="24"/>
          <w:szCs w:val="24"/>
        </w:rPr>
        <w:t>5</w:t>
      </w:r>
      <w:r>
        <w:rPr>
          <w:rFonts w:ascii="宋体" w:hAnsi="宋体" w:hint="eastAsia"/>
          <w:sz w:val="24"/>
          <w:szCs w:val="24"/>
        </w:rPr>
        <w:t>-001</w:t>
      </w:r>
    </w:p>
    <w:tbl>
      <w:tblPr>
        <w:tblW w:w="8978" w:type="dxa"/>
        <w:jc w:val="center"/>
        <w:tblCellMar>
          <w:left w:w="10" w:type="dxa"/>
          <w:right w:w="10" w:type="dxa"/>
        </w:tblCellMar>
        <w:tblLook w:val="04A0"/>
      </w:tblPr>
      <w:tblGrid>
        <w:gridCol w:w="1843"/>
        <w:gridCol w:w="7135"/>
      </w:tblGrid>
      <w:tr w:rsidR="003B1ABD">
        <w:trPr>
          <w:trHeight w:val="154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投资者关系</w:t>
            </w:r>
          </w:p>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活动类别</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B1ABD" w:rsidRDefault="006062AF">
            <w:pPr>
              <w:tabs>
                <w:tab w:val="left" w:pos="3045"/>
                <w:tab w:val="center" w:pos="3199"/>
              </w:tabs>
              <w:spacing w:line="360" w:lineRule="auto"/>
              <w:ind w:firstLine="472"/>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 特定对象调研     □ 分析师会议    </w:t>
            </w:r>
          </w:p>
          <w:p w:rsidR="003B1ABD" w:rsidRDefault="006062AF">
            <w:pPr>
              <w:tabs>
                <w:tab w:val="left" w:pos="3045"/>
                <w:tab w:val="center" w:pos="3199"/>
              </w:tabs>
              <w:spacing w:line="360" w:lineRule="auto"/>
              <w:ind w:firstLine="472"/>
              <w:rPr>
                <w:rFonts w:asciiTheme="minorEastAsia" w:eastAsiaTheme="minorEastAsia" w:hAnsiTheme="minorEastAsia"/>
                <w:sz w:val="24"/>
                <w:szCs w:val="24"/>
              </w:rPr>
            </w:pPr>
            <w:r>
              <w:rPr>
                <w:rFonts w:asciiTheme="minorEastAsia" w:eastAsiaTheme="minorEastAsia" w:hAnsiTheme="minorEastAsia" w:hint="eastAsia"/>
                <w:sz w:val="24"/>
                <w:szCs w:val="24"/>
              </w:rPr>
              <w:t>□ 媒体采访</w:t>
            </w:r>
            <w:bookmarkStart w:id="0" w:name="OLE_LINK3"/>
            <w:r>
              <w:rPr>
                <w:rFonts w:asciiTheme="minorEastAsia" w:eastAsiaTheme="minorEastAsia" w:hAnsiTheme="minorEastAsia" w:hint="eastAsia"/>
                <w:sz w:val="24"/>
                <w:szCs w:val="24"/>
              </w:rPr>
              <w:t xml:space="preserve">         □</w:t>
            </w:r>
            <w:bookmarkEnd w:id="0"/>
            <w:r>
              <w:rPr>
                <w:rFonts w:asciiTheme="minorEastAsia" w:eastAsiaTheme="minorEastAsia" w:hAnsiTheme="minorEastAsia" w:hint="eastAsia"/>
                <w:sz w:val="24"/>
                <w:szCs w:val="24"/>
              </w:rPr>
              <w:t xml:space="preserve"> 业绩说明会    </w:t>
            </w:r>
            <w:bookmarkStart w:id="1" w:name="OLE_LINK1"/>
            <w:r>
              <w:rPr>
                <w:rFonts w:asciiTheme="minorEastAsia" w:eastAsiaTheme="minorEastAsia" w:hAnsiTheme="minorEastAsia" w:hint="eastAsia"/>
                <w:sz w:val="24"/>
                <w:szCs w:val="24"/>
              </w:rPr>
              <w:t xml:space="preserve"> </w:t>
            </w:r>
          </w:p>
          <w:p w:rsidR="003B1ABD" w:rsidRDefault="006062AF">
            <w:pPr>
              <w:tabs>
                <w:tab w:val="left" w:pos="3045"/>
                <w:tab w:val="center" w:pos="3199"/>
              </w:tabs>
              <w:spacing w:line="360" w:lineRule="auto"/>
              <w:ind w:firstLine="472"/>
              <w:rPr>
                <w:rFonts w:asciiTheme="minorEastAsia" w:eastAsiaTheme="minorEastAsia" w:hAnsiTheme="minorEastAsia"/>
                <w:sz w:val="24"/>
                <w:szCs w:val="24"/>
              </w:rPr>
            </w:pPr>
            <w:r>
              <w:rPr>
                <w:rFonts w:asciiTheme="minorEastAsia" w:eastAsiaTheme="minorEastAsia" w:hAnsiTheme="minorEastAsia" w:hint="eastAsia"/>
                <w:sz w:val="24"/>
                <w:szCs w:val="24"/>
              </w:rPr>
              <w:t>□</w:t>
            </w:r>
            <w:bookmarkEnd w:id="1"/>
            <w:r>
              <w:rPr>
                <w:rFonts w:asciiTheme="minorEastAsia" w:eastAsiaTheme="minorEastAsia" w:hAnsiTheme="minorEastAsia" w:hint="eastAsia"/>
                <w:sz w:val="24"/>
                <w:szCs w:val="24"/>
              </w:rPr>
              <w:t xml:space="preserve"> 新闻发布会       □ 路演活动</w:t>
            </w:r>
          </w:p>
          <w:p w:rsidR="003B1ABD" w:rsidRDefault="006062AF">
            <w:pPr>
              <w:tabs>
                <w:tab w:val="left" w:pos="3045"/>
                <w:tab w:val="center" w:pos="3199"/>
              </w:tabs>
              <w:spacing w:line="360" w:lineRule="auto"/>
              <w:ind w:firstLine="472"/>
              <w:rPr>
                <w:rFonts w:asciiTheme="minorEastAsia" w:eastAsiaTheme="minorEastAsia" w:hAnsiTheme="minorEastAsia" w:cs="宋体"/>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 现场接待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 其他（</w:t>
            </w:r>
            <w:bookmarkStart w:id="2" w:name="OLE_LINK2"/>
            <w:r>
              <w:rPr>
                <w:rFonts w:asciiTheme="minorEastAsia" w:eastAsiaTheme="minorEastAsia" w:hAnsiTheme="minorEastAsia" w:hint="eastAsia"/>
                <w:sz w:val="24"/>
                <w:szCs w:val="24"/>
              </w:rPr>
              <w:t>电话会议</w:t>
            </w:r>
            <w:bookmarkEnd w:id="2"/>
            <w:r>
              <w:rPr>
                <w:rFonts w:asciiTheme="minorEastAsia" w:eastAsiaTheme="minorEastAsia" w:hAnsiTheme="minorEastAsia" w:hint="eastAsia"/>
                <w:sz w:val="24"/>
                <w:szCs w:val="24"/>
              </w:rPr>
              <w:t>）</w:t>
            </w:r>
          </w:p>
        </w:tc>
      </w:tr>
      <w:tr w:rsidR="003B1ABD">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参与单位名称</w:t>
            </w:r>
            <w:r>
              <w:rPr>
                <w:rFonts w:asciiTheme="minorEastAsia" w:eastAsiaTheme="minorEastAsia" w:hAnsiTheme="minorEastAsia" w:cs="宋体" w:hint="eastAsia"/>
                <w:b/>
                <w:sz w:val="24"/>
                <w:szCs w:val="24"/>
              </w:rPr>
              <w:t>及</w:t>
            </w:r>
            <w:r>
              <w:rPr>
                <w:rFonts w:asciiTheme="minorEastAsia" w:eastAsiaTheme="minorEastAsia" w:hAnsiTheme="minorEastAsia" w:cs="宋体"/>
                <w:b/>
                <w:sz w:val="24"/>
                <w:szCs w:val="24"/>
              </w:rPr>
              <w:t>人员名单</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详见</w:t>
            </w:r>
            <w:r>
              <w:rPr>
                <w:rFonts w:asciiTheme="minorEastAsia" w:eastAsiaTheme="minorEastAsia" w:hAnsiTheme="minorEastAsia" w:cs="宋体"/>
                <w:sz w:val="24"/>
                <w:szCs w:val="24"/>
              </w:rPr>
              <w:t>附表</w:t>
            </w:r>
          </w:p>
        </w:tc>
      </w:tr>
      <w:tr w:rsidR="003B1ABD">
        <w:trPr>
          <w:trHeight w:val="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b/>
                <w:sz w:val="24"/>
                <w:szCs w:val="24"/>
              </w:rPr>
              <w:t>时间</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B1ABD" w:rsidRDefault="006062AF" w:rsidP="00E559D5">
            <w:pPr>
              <w:spacing w:line="360" w:lineRule="auto"/>
              <w:rPr>
                <w:rFonts w:asciiTheme="minorEastAsia" w:eastAsiaTheme="minorEastAsia" w:hAnsiTheme="minorEastAsia"/>
                <w:sz w:val="24"/>
                <w:szCs w:val="24"/>
              </w:rPr>
            </w:pPr>
            <w:bookmarkStart w:id="3" w:name="OLE_LINK4"/>
            <w:r>
              <w:rPr>
                <w:rFonts w:asciiTheme="minorEastAsia" w:eastAsiaTheme="minorEastAsia" w:hAnsiTheme="minorEastAsia"/>
                <w:sz w:val="24"/>
                <w:szCs w:val="24"/>
              </w:rPr>
              <w:t>2025</w:t>
            </w:r>
            <w:r>
              <w:rPr>
                <w:rFonts w:asciiTheme="minorEastAsia" w:eastAsiaTheme="minorEastAsia" w:hAnsiTheme="minorEastAsia" w:hint="eastAsia"/>
                <w:sz w:val="24"/>
                <w:szCs w:val="24"/>
              </w:rPr>
              <w:t>年4月29日</w:t>
            </w:r>
            <w:bookmarkEnd w:id="3"/>
            <w:r>
              <w:rPr>
                <w:rFonts w:asciiTheme="minorEastAsia" w:eastAsiaTheme="minorEastAsia" w:hAnsiTheme="minorEastAsia" w:hint="eastAsia"/>
                <w:sz w:val="24"/>
                <w:szCs w:val="24"/>
              </w:rPr>
              <w:t>-5月</w:t>
            </w:r>
          </w:p>
        </w:tc>
      </w:tr>
      <w:tr w:rsidR="003B1ABD">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地点</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线上</w:t>
            </w:r>
          </w:p>
        </w:tc>
      </w:tr>
      <w:tr w:rsidR="003B1ABD">
        <w:trPr>
          <w:trHeight w:val="1"/>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b/>
                <w:sz w:val="24"/>
                <w:szCs w:val="24"/>
              </w:rPr>
              <w:t>上市公司接待人员及职务</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董事、董事会秘书：王烨</w:t>
            </w:r>
          </w:p>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财务负责人：杜志</w:t>
            </w:r>
          </w:p>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证券事务代表：</w:t>
            </w:r>
            <w:proofErr w:type="gramStart"/>
            <w:r>
              <w:rPr>
                <w:rFonts w:asciiTheme="minorEastAsia" w:eastAsiaTheme="minorEastAsia" w:hAnsiTheme="minorEastAsia" w:cs="宋体" w:hint="eastAsia"/>
                <w:sz w:val="24"/>
                <w:szCs w:val="24"/>
              </w:rPr>
              <w:t>吴优</w:t>
            </w:r>
            <w:proofErr w:type="gramEnd"/>
          </w:p>
        </w:tc>
      </w:tr>
      <w:tr w:rsidR="003B1ABD">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投资者关系</w:t>
            </w:r>
          </w:p>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活动主要内容介绍</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B1ABD" w:rsidRDefault="006062AF" w:rsidP="00E559D5">
            <w:pPr>
              <w:adjustRightInd w:val="0"/>
              <w:snapToGrid w:val="0"/>
              <w:spacing w:beforeLines="50" w:line="360" w:lineRule="auto"/>
              <w:ind w:firstLineChars="196" w:firstLine="472"/>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交流内容主要如下：</w:t>
            </w:r>
          </w:p>
          <w:p w:rsidR="003B1ABD" w:rsidRDefault="006062AF">
            <w:pPr>
              <w:adjustRightInd w:val="0"/>
              <w:snapToGrid w:val="0"/>
              <w:spacing w:line="360" w:lineRule="auto"/>
              <w:ind w:firstLineChars="200" w:firstLine="482"/>
              <w:jc w:val="both"/>
              <w:rPr>
                <w:rFonts w:ascii="宋体" w:hAnsi="宋体"/>
                <w:b/>
                <w:bCs/>
                <w:sz w:val="24"/>
                <w:szCs w:val="24"/>
              </w:rPr>
            </w:pPr>
            <w:r>
              <w:rPr>
                <w:rFonts w:ascii="宋体" w:hAnsi="宋体" w:hint="eastAsia"/>
                <w:b/>
                <w:bCs/>
                <w:sz w:val="24"/>
                <w:szCs w:val="24"/>
              </w:rPr>
              <w:t>一、公司</w:t>
            </w:r>
            <w:r>
              <w:rPr>
                <w:rFonts w:ascii="宋体" w:hAnsi="宋体"/>
                <w:b/>
                <w:bCs/>
                <w:sz w:val="24"/>
                <w:szCs w:val="24"/>
              </w:rPr>
              <w:t>2024</w:t>
            </w:r>
            <w:r>
              <w:rPr>
                <w:rFonts w:ascii="宋体" w:hAnsi="宋体" w:hint="eastAsia"/>
                <w:b/>
                <w:bCs/>
                <w:sz w:val="24"/>
                <w:szCs w:val="24"/>
              </w:rPr>
              <w:t>年度暨2025年第一季度基本经营概况</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2024年，公司实现营业收入46.96亿元，同比增长0.87%；归属于上市公司股东的净利润6.24亿元，同比增长29.55%；截至2024年12月31日，公司的总资产为136.79亿元，归属于上市公司股东的净资产为101.24亿元。</w:t>
            </w:r>
          </w:p>
          <w:p w:rsidR="003B1ABD" w:rsidRDefault="006062AF">
            <w:pPr>
              <w:adjustRightInd w:val="0"/>
              <w:snapToGrid w:val="0"/>
              <w:spacing w:line="360" w:lineRule="auto"/>
              <w:ind w:firstLineChars="200" w:firstLine="480"/>
              <w:jc w:val="both"/>
              <w:rPr>
                <w:rFonts w:ascii="宋体" w:hAnsi="宋体"/>
                <w:sz w:val="24"/>
                <w:szCs w:val="24"/>
                <w:highlight w:val="yellow"/>
              </w:rPr>
            </w:pPr>
            <w:r>
              <w:rPr>
                <w:rFonts w:ascii="宋体" w:hAnsi="宋体" w:hint="eastAsia"/>
                <w:sz w:val="24"/>
                <w:szCs w:val="24"/>
              </w:rPr>
              <w:t>2025年第一季度，公司实现营业收入13.01亿元，同比增长86.41%；归属于上市公司股东的净利润1.21亿元，同比增长39.14%；截至2025年3月31日，公司的总资产为142.20亿元，比上年度末增长3.96%。</w:t>
            </w:r>
          </w:p>
          <w:p w:rsidR="003B1ABD" w:rsidRDefault="006062AF">
            <w:pPr>
              <w:adjustRightInd w:val="0"/>
              <w:snapToGrid w:val="0"/>
              <w:spacing w:line="360" w:lineRule="auto"/>
              <w:ind w:firstLineChars="200" w:firstLine="482"/>
              <w:jc w:val="both"/>
              <w:rPr>
                <w:rFonts w:ascii="宋体" w:hAnsi="宋体"/>
                <w:sz w:val="24"/>
                <w:szCs w:val="24"/>
              </w:rPr>
            </w:pPr>
            <w:r>
              <w:rPr>
                <w:rFonts w:ascii="宋体" w:hAnsi="宋体" w:hint="eastAsia"/>
                <w:b/>
                <w:bCs/>
                <w:sz w:val="24"/>
                <w:szCs w:val="24"/>
              </w:rPr>
              <w:t>二、</w:t>
            </w:r>
            <w:r>
              <w:rPr>
                <w:rFonts w:ascii="宋体" w:hAnsi="宋体"/>
                <w:b/>
                <w:bCs/>
                <w:sz w:val="24"/>
                <w:szCs w:val="24"/>
              </w:rPr>
              <w:t>投资者提出的问题及公司回复情况</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1、2024年全年出货和产能利用率如何？</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答：2024年全年公司实现销量49万吨，产能利用率较2023</w:t>
            </w:r>
            <w:r>
              <w:rPr>
                <w:rFonts w:ascii="宋体" w:hAnsi="宋体" w:hint="eastAsia"/>
                <w:sz w:val="24"/>
                <w:szCs w:val="24"/>
              </w:rPr>
              <w:lastRenderedPageBreak/>
              <w:t>年有所提升，基本实现产销平衡，整体出货</w:t>
            </w:r>
            <w:proofErr w:type="gramStart"/>
            <w:r>
              <w:rPr>
                <w:rFonts w:ascii="宋体" w:hAnsi="宋体" w:hint="eastAsia"/>
                <w:sz w:val="24"/>
                <w:szCs w:val="24"/>
              </w:rPr>
              <w:t>呈现先低后</w:t>
            </w:r>
            <w:proofErr w:type="gramEnd"/>
            <w:r>
              <w:rPr>
                <w:rFonts w:ascii="宋体" w:hAnsi="宋体" w:hint="eastAsia"/>
                <w:sz w:val="24"/>
                <w:szCs w:val="24"/>
              </w:rPr>
              <w:t>高的情况。</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2、2024年公司产品毛利率表现如何？</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答：公司主营业务综合毛利率为17.31%，较上年减少1.17个百分点。分产品看，球墨铸铁类产品毛利率17.84%，同比减少0.47个百分点，合金类产品毛利率4.73%，同比增加1.36个百分点。未来公司将加大研发与市场投入，进一步提升高附加值产品在营收中的占比，同时通过工艺革新，强化国内市场的产品差异化竞争，并拓展海外市场，推动毛利率逐步改善。</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公司目前的铸件和机加工的产能如何？</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答：截至2024年底，公司已具备年产70万吨铸造产能和42万吨精加工能力</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1）公司按照既定战略稳定推进各项产能提升工作，其中甘肃日月“年产20万吨（一期10万吨）风力发电关键部件项目”已于2023年3月进入生产阶段，年产13.2万吨铸造产能项目已于2023年4月进入生产阶段，以上两项目目前均处于产量爬坡阶段。</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2）结合市场状况，优化精加工产能布局，首期“年产10万吨大型铸件精加工项目”已经达成。“年产12万吨海装关键铸件精加工项目”于2020年7月份开始稳步释放部分产能后产量稳步提升。甘肃日月“年产20万吨（一期10万吨）风力发电关键部件项目”配套的10万吨精加工产能，已于2023年3月进入生产阶段。2020年非公开发行股票项目“年产22万吨大型铸件精加工项目”已完成10万吨的精加工能力，提升了客户端“一站式”交付能力，形成了自主加工与优秀外协供方加工资源优势互补的弹性精加工格局。</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4、公司主要的原材料是哪些？</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答：公司产品的主要原材料为生铁和废钢，辅助材料为树脂、球化剂、孕育剂和固化剂等。</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5、面对今年风电行业的不确定性，公司在考虑哪些新的布局来应对未来的经营压力？</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答：由于主机招标价格长期维持相对低位，价格竞争成为行业</w:t>
            </w:r>
            <w:r>
              <w:rPr>
                <w:rFonts w:ascii="宋体" w:hAnsi="宋体" w:hint="eastAsia"/>
                <w:sz w:val="24"/>
                <w:szCs w:val="24"/>
              </w:rPr>
              <w:lastRenderedPageBreak/>
              <w:t>的标签，风电产业获利空间受到一定的挤压，公司将审时度势采取灵活的市场策略，在巩固国内</w:t>
            </w:r>
            <w:proofErr w:type="gramStart"/>
            <w:r>
              <w:rPr>
                <w:rFonts w:ascii="宋体" w:hAnsi="宋体" w:hint="eastAsia"/>
                <w:sz w:val="24"/>
                <w:szCs w:val="24"/>
              </w:rPr>
              <w:t>市占率的</w:t>
            </w:r>
            <w:proofErr w:type="gramEnd"/>
            <w:r>
              <w:rPr>
                <w:rFonts w:ascii="宋体" w:hAnsi="宋体" w:hint="eastAsia"/>
                <w:sz w:val="24"/>
                <w:szCs w:val="24"/>
              </w:rPr>
              <w:t>条件下，重点做好国际客户大型化产品试样、大批量供货推进工作，聚焦挖掘现有产能利用率和不同应用场景下的需求，积极关注大型压铸机锻造产品改为铸钢产品的市场动向，以现有技术积极迎合市场机遇，进一步丰富产品系列，加强海风</w:t>
            </w:r>
            <w:proofErr w:type="gramStart"/>
            <w:r>
              <w:rPr>
                <w:rFonts w:ascii="宋体" w:hAnsi="宋体" w:hint="eastAsia"/>
                <w:sz w:val="24"/>
                <w:szCs w:val="24"/>
              </w:rPr>
              <w:t>风电业务</w:t>
            </w:r>
            <w:proofErr w:type="gramEnd"/>
            <w:r>
              <w:rPr>
                <w:rFonts w:ascii="宋体" w:hAnsi="宋体" w:hint="eastAsia"/>
                <w:sz w:val="24"/>
                <w:szCs w:val="24"/>
              </w:rPr>
              <w:t>的发展，同时也在积极拓展产品线，包括矿山机械、船用铸钢件等领域，并尝试开发高温合金等新材料。</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6、2025年公司将采取哪些举措实现运营效能的提升？</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答：公司将全面推进精细化运营管理，系统性优化成本结构，确保公司盈利能力持续高于行业均值，构建“低成本、高效率、优质量”的竞争优势。具体通过以下路径实现运营效能提升：</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1）数字化转型：当前公司已构建SAP、SAC、SRM等全方位数字化管理平台；同时，正在开展积极部署低代码数字化平台，并构建匹配日月铸造生产模式和未来业务板块衍生需求的MES系统。此外，公司未来将积极探索AI+应用场景和赋能方案，将数字化和智能化融入公司的日常生产运营环节，包括熔炼过程的智能优化、产品成型缺陷预判防控、设备全生命周期管理、生产调度智能决策、工艺知识的沉淀应用等，打造铸造全流程数字化系统，持续提升运营管理效率，并通过数字化系统挖掘隐性成本，实现提质增效。</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（2）流程再造：重构工艺路径与生产布局，建立端到端的精益流动体系，缩短产品全周期流转时间20%以上；</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3）质量升级：当前公司建立了一整套内部质量控制体系，配置了包括三坐标检测仪、蔡司扫描电镜等大型专业检测设备，确保产品整个生产过程受到严格质量控制。未来，公司将继续聚焦主业，进一步提升在产品质量及生产效能方面的资源投入。通过设备及工艺工装的研发驱动，为当前公司主要产品进行适配，如3D工装打印、铸造及加工的联动、加工专机研发等项目的开展，进一步提升公司对于产品进度、质量及效率的管控，推动产品质量持续优化升级。</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7、公司在研发上有哪些优势？</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lastRenderedPageBreak/>
              <w:t>答：技术升级、工艺改进，是公司得以持续发展的基础。基于对技术研发的重视与投入，截至2024年12月31日，公司拥有已授权的专利174项，其中发明专利66项。此外，公司还积累了包括“高强珠光体球墨铸铁风力发电行星架的低成本铸造技术”、“大型节能耐高压多油缸体铸件关键技术”、“100万千瓦超临界汽轮机中压外缸铸件关键技术的研发与应用”、“大型厚断面球墨铸铁件组织性能控制关键技术”、“低温高强度球墨铸铁大功率风电轮毂的研制”等在内的多项技术成果。公司已经具备了完整的知识产权获取、管理、应用体系和研发能力。</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8</w:t>
            </w:r>
            <w:r>
              <w:rPr>
                <w:rFonts w:ascii="宋体" w:hAnsi="宋体"/>
                <w:sz w:val="24"/>
                <w:szCs w:val="24"/>
              </w:rPr>
              <w:t>、</w:t>
            </w:r>
            <w:r>
              <w:rPr>
                <w:rFonts w:ascii="宋体" w:hAnsi="宋体" w:hint="eastAsia"/>
                <w:sz w:val="24"/>
                <w:szCs w:val="24"/>
              </w:rPr>
              <w:t>风电行业前景如何？</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答：从风</w:t>
            </w:r>
            <w:proofErr w:type="gramStart"/>
            <w:r>
              <w:rPr>
                <w:rFonts w:ascii="宋体" w:hAnsi="宋体" w:hint="eastAsia"/>
                <w:sz w:val="24"/>
                <w:szCs w:val="24"/>
              </w:rPr>
              <w:t>电建设</w:t>
            </w:r>
            <w:proofErr w:type="gramEnd"/>
            <w:r>
              <w:rPr>
                <w:rFonts w:ascii="宋体" w:hAnsi="宋体" w:hint="eastAsia"/>
                <w:sz w:val="24"/>
                <w:szCs w:val="24"/>
              </w:rPr>
              <w:t>和运行情况上看，根据国家能源局数据，2025年一季度，全国风电新增并网容量1462万千瓦，其中陆上风电1364万千瓦，海上风电98万千瓦。从风电招标情况上看，据不完全统计，2025年一季度国内公开招标市场新增招标量超28GW，招标量持续增长。</w:t>
            </w:r>
            <w:bookmarkStart w:id="4" w:name="_GoBack"/>
            <w:bookmarkEnd w:id="4"/>
            <w:r>
              <w:rPr>
                <w:rFonts w:ascii="宋体" w:hAnsi="宋体" w:hint="eastAsia"/>
                <w:sz w:val="24"/>
                <w:szCs w:val="24"/>
              </w:rPr>
              <w:t>风电作为新能源行业，支持可再生能源发展、提高清洁能源在国家能源结构中的比例，实现“碳达峰和</w:t>
            </w:r>
            <w:proofErr w:type="gramStart"/>
            <w:r>
              <w:rPr>
                <w:rFonts w:ascii="宋体" w:hAnsi="宋体" w:hint="eastAsia"/>
                <w:sz w:val="24"/>
                <w:szCs w:val="24"/>
              </w:rPr>
              <w:t>碳中和</w:t>
            </w:r>
            <w:proofErr w:type="gramEnd"/>
            <w:r>
              <w:rPr>
                <w:rFonts w:ascii="宋体" w:hAnsi="宋体" w:hint="eastAsia"/>
                <w:sz w:val="24"/>
                <w:szCs w:val="24"/>
              </w:rPr>
              <w:t>”已经是全社会的共识与我国政府的政策导向。</w:t>
            </w:r>
          </w:p>
          <w:p w:rsidR="003B1ABD" w:rsidRDefault="006062AF">
            <w:pPr>
              <w:numPr>
                <w:ilvl w:val="0"/>
                <w:numId w:val="1"/>
              </w:num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针对今年新推出的产品，它们的价格和盈利是否比传统产品更高？</w:t>
            </w:r>
          </w:p>
          <w:p w:rsidR="003B1ABD" w:rsidRDefault="006062AF">
            <w:pPr>
              <w:adjustRightInd w:val="0"/>
              <w:snapToGrid w:val="0"/>
              <w:spacing w:line="360" w:lineRule="auto"/>
              <w:jc w:val="both"/>
              <w:rPr>
                <w:rFonts w:ascii="宋体" w:hAnsi="宋体"/>
                <w:sz w:val="24"/>
                <w:szCs w:val="24"/>
              </w:rPr>
            </w:pPr>
            <w:r>
              <w:rPr>
                <w:rFonts w:ascii="宋体" w:hAnsi="宋体" w:hint="eastAsia"/>
                <w:sz w:val="24"/>
                <w:szCs w:val="24"/>
              </w:rPr>
              <w:t xml:space="preserve">   答：新产品的价格会根据原材料成本和谈判时间的不同而变化，具体情况还需</w:t>
            </w:r>
            <w:proofErr w:type="gramStart"/>
            <w:r>
              <w:rPr>
                <w:rFonts w:ascii="宋体" w:hAnsi="宋体" w:hint="eastAsia"/>
                <w:sz w:val="24"/>
                <w:szCs w:val="24"/>
              </w:rPr>
              <w:t>视谈判</w:t>
            </w:r>
            <w:proofErr w:type="gramEnd"/>
            <w:r>
              <w:rPr>
                <w:rFonts w:ascii="宋体" w:hAnsi="宋体" w:hint="eastAsia"/>
                <w:sz w:val="24"/>
                <w:szCs w:val="24"/>
              </w:rPr>
              <w:t>时的具体情况来定。</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10、其他业务板块的情况，特别是铸钢件与核乏燃料罐的发展如何？</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答：铸钢件业务正在进行产品升级过程，2024年销售收入相比前两年有较大上升，但由于仍处于前期投入阶段，毛利率改善不明显，预计在2025年开始逐渐改善。同时，公司正在投资布局核废料储存</w:t>
            </w:r>
            <w:proofErr w:type="gramStart"/>
            <w:r>
              <w:rPr>
                <w:rFonts w:ascii="宋体" w:hAnsi="宋体" w:hint="eastAsia"/>
                <w:sz w:val="24"/>
                <w:szCs w:val="24"/>
              </w:rPr>
              <w:t>罐相关</w:t>
            </w:r>
            <w:proofErr w:type="gramEnd"/>
            <w:r>
              <w:rPr>
                <w:rFonts w:ascii="宋体" w:hAnsi="宋体" w:hint="eastAsia"/>
                <w:sz w:val="24"/>
                <w:szCs w:val="24"/>
              </w:rPr>
              <w:t>产业化项目，目前已经完成工艺定型、生产资源准备、性能测试等相关工作，已经具备开始正式投入市场的条件，公司正密切与相关方合作，力争早日实现产业化。</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11、请介绍下公司2024年度利润分配情况？</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lastRenderedPageBreak/>
              <w:t>答：2024年度公司共实现归属于上市公司股东的净利润623,809,070.27元，截至2024年12月31日，母公司可供分配的利润为963,625,602.84元。为积极回报股东，与所有股东分享公司发展的经营成果，在符合利润分配原则、保证公司正常经营和长远发展的前提下，公司拟向全体股东每股派发现金股利0.35元（含税）。经年度股东大会审议通过后，公司将及时实施权益分派事项。</w:t>
            </w:r>
          </w:p>
          <w:p w:rsidR="003B1ABD" w:rsidRDefault="006062AF">
            <w:pPr>
              <w:adjustRightInd w:val="0"/>
              <w:snapToGrid w:val="0"/>
              <w:spacing w:line="360" w:lineRule="auto"/>
              <w:ind w:firstLineChars="196" w:firstLine="470"/>
              <w:jc w:val="both"/>
              <w:rPr>
                <w:rFonts w:ascii="宋体" w:hAnsi="宋体"/>
                <w:sz w:val="24"/>
                <w:szCs w:val="24"/>
              </w:rPr>
            </w:pPr>
            <w:r>
              <w:rPr>
                <w:rFonts w:ascii="宋体" w:hAnsi="宋体" w:hint="eastAsia"/>
                <w:sz w:val="24"/>
                <w:szCs w:val="24"/>
              </w:rPr>
              <w:t>12、汇率变化对公司有什么影响吗？</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 xml:space="preserve">答：公司主要结算币种为欧元、美元等，随着公司海外业务收入的提升，人民币对欧元、美元等货币汇率的波动可能在一定程度上对公司的盈利情况产生影响。 </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sz w:val="24"/>
                <w:szCs w:val="24"/>
              </w:rPr>
              <w:t>13、</w:t>
            </w:r>
            <w:r>
              <w:rPr>
                <w:rFonts w:ascii="宋体" w:hAnsi="宋体" w:hint="eastAsia"/>
                <w:sz w:val="24"/>
                <w:szCs w:val="24"/>
              </w:rPr>
              <w:t>今年涨价主要是哪些产品？</w:t>
            </w:r>
          </w:p>
          <w:p w:rsidR="003B1ABD" w:rsidRDefault="006062AF">
            <w:pPr>
              <w:adjustRightInd w:val="0"/>
              <w:snapToGrid w:val="0"/>
              <w:spacing w:line="360" w:lineRule="auto"/>
              <w:ind w:firstLine="480"/>
              <w:jc w:val="both"/>
              <w:rPr>
                <w:rFonts w:ascii="宋体" w:hAnsi="宋体"/>
                <w:sz w:val="24"/>
                <w:szCs w:val="24"/>
              </w:rPr>
            </w:pPr>
            <w:r>
              <w:rPr>
                <w:rFonts w:ascii="宋体" w:hAnsi="宋体" w:hint="eastAsia"/>
                <w:sz w:val="24"/>
                <w:szCs w:val="24"/>
              </w:rPr>
              <w:t>答：涨价的主要是直接与主机厂家交易的产品，如轮毂底座、铸造主轴、轴承座等。</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14、今年齿轮箱出货量提升的原因是什么？</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答：面对激烈的风电产业竞争局面，公司调整了部分经营策略，会优先考虑高附加值产品和重点客户资源，使得高毛利的齿轮箱产品得到更多的资源支持。</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15、公司未来几年有哪些利润增长点？</w:t>
            </w:r>
          </w:p>
          <w:p w:rsidR="003B1ABD" w:rsidRDefault="006062AF">
            <w:pPr>
              <w:spacing w:line="360" w:lineRule="auto"/>
              <w:ind w:firstLineChars="200" w:firstLine="480"/>
              <w:rPr>
                <w:rFonts w:ascii="宋体" w:hAnsi="宋体"/>
                <w:sz w:val="24"/>
                <w:szCs w:val="24"/>
              </w:rPr>
            </w:pPr>
            <w:r>
              <w:rPr>
                <w:rFonts w:ascii="宋体" w:hAnsi="宋体" w:hint="eastAsia"/>
                <w:sz w:val="24"/>
                <w:szCs w:val="24"/>
              </w:rPr>
              <w:t>答：公司正积极布局深远</w:t>
            </w:r>
            <w:proofErr w:type="gramStart"/>
            <w:r>
              <w:rPr>
                <w:rFonts w:ascii="宋体" w:hAnsi="宋体" w:hint="eastAsia"/>
                <w:sz w:val="24"/>
                <w:szCs w:val="24"/>
              </w:rPr>
              <w:t>海风电业务</w:t>
            </w:r>
            <w:proofErr w:type="gramEnd"/>
            <w:r>
              <w:rPr>
                <w:rFonts w:ascii="宋体" w:hAnsi="宋体" w:hint="eastAsia"/>
                <w:sz w:val="24"/>
                <w:szCs w:val="24"/>
              </w:rPr>
              <w:t>，探索漂浮式平台等前沿新技术，以适应未来风</w:t>
            </w:r>
            <w:proofErr w:type="gramStart"/>
            <w:r>
              <w:rPr>
                <w:rFonts w:ascii="宋体" w:hAnsi="宋体" w:hint="eastAsia"/>
                <w:sz w:val="24"/>
                <w:szCs w:val="24"/>
              </w:rPr>
              <w:t>电市场</w:t>
            </w:r>
            <w:proofErr w:type="gramEnd"/>
            <w:r>
              <w:rPr>
                <w:rFonts w:ascii="宋体" w:hAnsi="宋体" w:hint="eastAsia"/>
                <w:sz w:val="24"/>
                <w:szCs w:val="24"/>
              </w:rPr>
              <w:t>的发展趋势，依托现有技术向横向产业领域延伸，打造产品多元化，增强企业全周期生命力。此外，公司正在布局高精尖领域，开始研发核电乏燃料转运储存罐，目前已具备批量制造能力，并开始拓展高端合金钢市场，在继续做大做</w:t>
            </w:r>
            <w:proofErr w:type="gramStart"/>
            <w:r>
              <w:rPr>
                <w:rFonts w:ascii="宋体" w:hAnsi="宋体" w:hint="eastAsia"/>
                <w:sz w:val="24"/>
                <w:szCs w:val="24"/>
              </w:rPr>
              <w:t>强风电</w:t>
            </w:r>
            <w:proofErr w:type="gramEnd"/>
            <w:r>
              <w:rPr>
                <w:rFonts w:ascii="宋体" w:hAnsi="宋体" w:hint="eastAsia"/>
                <w:sz w:val="24"/>
                <w:szCs w:val="24"/>
              </w:rPr>
              <w:t>和注塑机类产品的同时，积极拓展研发新能源汽车、大型压铸机、船舶、特殊材质泵类对铸铁、铸钢需求的产品，进一步优化和丰富公司产品线，增强企业的抗风险能力。未来我们还将加快海外市场布局，拓展国际风</w:t>
            </w:r>
            <w:proofErr w:type="gramStart"/>
            <w:r>
              <w:rPr>
                <w:rFonts w:ascii="宋体" w:hAnsi="宋体" w:hint="eastAsia"/>
                <w:sz w:val="24"/>
                <w:szCs w:val="24"/>
              </w:rPr>
              <w:t>电业务</w:t>
            </w:r>
            <w:proofErr w:type="gramEnd"/>
            <w:r>
              <w:rPr>
                <w:rFonts w:ascii="宋体" w:hAnsi="宋体" w:hint="eastAsia"/>
                <w:sz w:val="24"/>
                <w:szCs w:val="24"/>
              </w:rPr>
              <w:t>版图，提升全球市场份额。</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16、公司在内部如何加强企业文化建设，激发员工活力？</w:t>
            </w:r>
          </w:p>
          <w:p w:rsidR="003B1ABD" w:rsidRDefault="006062AF">
            <w:pPr>
              <w:adjustRightInd w:val="0"/>
              <w:snapToGrid w:val="0"/>
              <w:spacing w:line="360" w:lineRule="auto"/>
              <w:ind w:firstLineChars="200" w:firstLine="480"/>
              <w:jc w:val="both"/>
              <w:rPr>
                <w:rFonts w:ascii="宋体" w:hAnsi="宋体"/>
                <w:sz w:val="24"/>
                <w:szCs w:val="24"/>
              </w:rPr>
            </w:pPr>
            <w:r>
              <w:rPr>
                <w:rFonts w:ascii="宋体" w:hAnsi="宋体" w:hint="eastAsia"/>
                <w:sz w:val="24"/>
                <w:szCs w:val="24"/>
              </w:rPr>
              <w:t>答：公司将继续完善各项管理制度，并利用好上市公司的平台，做好人才储备和管理干部队伍梯队建设工作，继续在公司内部推行</w:t>
            </w:r>
            <w:r>
              <w:rPr>
                <w:rFonts w:ascii="宋体" w:hAnsi="宋体" w:hint="eastAsia"/>
                <w:sz w:val="24"/>
                <w:szCs w:val="24"/>
              </w:rPr>
              <w:lastRenderedPageBreak/>
              <w:t>绩效管理，完善考核和激励机制，使全体员工各司其职、勇于担当。</w:t>
            </w:r>
          </w:p>
        </w:tc>
      </w:tr>
      <w:tr w:rsidR="003B1ABD">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lastRenderedPageBreak/>
              <w:t>附件清单</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参与单位名称及人员名单</w:t>
            </w:r>
          </w:p>
        </w:tc>
      </w:tr>
      <w:tr w:rsidR="003B1ABD">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是否涉及应当披露重大信息的说明</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否</w:t>
            </w:r>
          </w:p>
        </w:tc>
      </w:tr>
      <w:tr w:rsidR="003B1ABD">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其他说明</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以上如涉及对行业的预测、公司发展战略规划等相关内容，不能视作公司或公司管理层对行业及公司发展的承诺和保证；敬请广大投资者注意投资风险。</w:t>
            </w:r>
          </w:p>
        </w:tc>
      </w:tr>
      <w:tr w:rsidR="003B1ABD">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b/>
                <w:sz w:val="24"/>
                <w:szCs w:val="24"/>
              </w:rPr>
              <w:t>日期</w:t>
            </w:r>
          </w:p>
        </w:tc>
        <w:tc>
          <w:tcPr>
            <w:tcW w:w="7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B1ABD" w:rsidRDefault="006062A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2025年5月30日</w:t>
            </w:r>
          </w:p>
        </w:tc>
      </w:tr>
    </w:tbl>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 w:rsidR="003B1ABD" w:rsidRDefault="003B1ABD">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794C8C" w:rsidRDefault="00794C8C">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3B1ABD" w:rsidRDefault="003B1ABD">
      <w:pPr>
        <w:rPr>
          <w:rFonts w:asciiTheme="minorEastAsia" w:eastAsiaTheme="minorEastAsia" w:hAnsiTheme="minorEastAsia" w:cs="宋体"/>
          <w:b/>
          <w:sz w:val="24"/>
          <w:szCs w:val="24"/>
        </w:rPr>
      </w:pPr>
    </w:p>
    <w:p w:rsidR="003B1ABD" w:rsidRDefault="006062AF">
      <w:r>
        <w:rPr>
          <w:rFonts w:asciiTheme="minorEastAsia" w:eastAsiaTheme="minorEastAsia" w:hAnsiTheme="minorEastAsia" w:cs="宋体"/>
          <w:b/>
          <w:sz w:val="24"/>
          <w:szCs w:val="24"/>
        </w:rPr>
        <w:lastRenderedPageBreak/>
        <w:t>参与单位名称</w:t>
      </w:r>
      <w:r>
        <w:rPr>
          <w:rFonts w:asciiTheme="minorEastAsia" w:eastAsiaTheme="minorEastAsia" w:hAnsiTheme="minorEastAsia" w:cs="宋体" w:hint="eastAsia"/>
          <w:b/>
          <w:sz w:val="24"/>
          <w:szCs w:val="24"/>
        </w:rPr>
        <w:t>及</w:t>
      </w:r>
      <w:r>
        <w:rPr>
          <w:rFonts w:asciiTheme="minorEastAsia" w:eastAsiaTheme="minorEastAsia" w:hAnsiTheme="minorEastAsia" w:cs="宋体"/>
          <w:b/>
          <w:sz w:val="24"/>
          <w:szCs w:val="24"/>
        </w:rPr>
        <w:t>人员名单：</w:t>
      </w:r>
    </w:p>
    <w:p w:rsidR="003B1ABD" w:rsidRDefault="003B1ABD"/>
    <w:tbl>
      <w:tblPr>
        <w:tblStyle w:val="a8"/>
        <w:tblW w:w="0" w:type="auto"/>
        <w:tblLook w:val="04A0"/>
      </w:tblPr>
      <w:tblGrid>
        <w:gridCol w:w="4361"/>
        <w:gridCol w:w="4359"/>
      </w:tblGrid>
      <w:tr w:rsidR="003B1ABD">
        <w:trPr>
          <w:trHeight w:val="504"/>
          <w:tblHeader/>
        </w:trPr>
        <w:tc>
          <w:tcPr>
            <w:tcW w:w="4361" w:type="dxa"/>
            <w:shd w:val="clear" w:color="auto" w:fill="D9D9D9" w:themeFill="background1" w:themeFillShade="D9"/>
            <w:noWrap/>
            <w:vAlign w:val="center"/>
          </w:tcPr>
          <w:p w:rsidR="003B1ABD" w:rsidRDefault="006062AF">
            <w:pPr>
              <w:jc w:val="center"/>
              <w:rPr>
                <w:b/>
                <w:bCs/>
              </w:rPr>
            </w:pPr>
            <w:r>
              <w:rPr>
                <w:rFonts w:hint="eastAsia"/>
                <w:b/>
                <w:bCs/>
              </w:rPr>
              <w:t>机构名称</w:t>
            </w:r>
          </w:p>
        </w:tc>
        <w:tc>
          <w:tcPr>
            <w:tcW w:w="4359" w:type="dxa"/>
            <w:shd w:val="clear" w:color="auto" w:fill="D9D9D9" w:themeFill="background1" w:themeFillShade="D9"/>
            <w:noWrap/>
            <w:vAlign w:val="center"/>
          </w:tcPr>
          <w:p w:rsidR="003B1ABD" w:rsidRDefault="006062AF">
            <w:pPr>
              <w:jc w:val="center"/>
              <w:rPr>
                <w:b/>
                <w:bCs/>
              </w:rPr>
            </w:pPr>
            <w:r>
              <w:rPr>
                <w:rFonts w:hint="eastAsia"/>
                <w:b/>
                <w:bCs/>
              </w:rPr>
              <w:t>姓名</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proofErr w:type="spellStart"/>
            <w:r>
              <w:rPr>
                <w:rFonts w:asciiTheme="minorEastAsia" w:eastAsiaTheme="minorEastAsia" w:hAnsiTheme="minorEastAsia" w:cstheme="minorEastAsia" w:hint="eastAsia"/>
                <w:color w:val="000000"/>
                <w:sz w:val="24"/>
                <w:szCs w:val="24"/>
              </w:rPr>
              <w:t>Rin</w:t>
            </w:r>
            <w:proofErr w:type="spellEnd"/>
            <w:r>
              <w:rPr>
                <w:rFonts w:asciiTheme="minorEastAsia" w:eastAsiaTheme="minorEastAsia" w:hAnsiTheme="minorEastAsia" w:cstheme="minorEastAsia" w:hint="eastAsia"/>
                <w:color w:val="000000"/>
                <w:sz w:val="24"/>
                <w:szCs w:val="24"/>
              </w:rPr>
              <w:t xml:space="preserve"> </w:t>
            </w:r>
            <w:proofErr w:type="spellStart"/>
            <w:r>
              <w:rPr>
                <w:rFonts w:asciiTheme="minorEastAsia" w:eastAsiaTheme="minorEastAsia" w:hAnsiTheme="minorEastAsia" w:cstheme="minorEastAsia" w:hint="eastAsia"/>
                <w:color w:val="000000"/>
                <w:sz w:val="24"/>
                <w:szCs w:val="24"/>
              </w:rPr>
              <w:t>Seart</w:t>
            </w:r>
            <w:proofErr w:type="spellEnd"/>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黄卫星</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proofErr w:type="spellStart"/>
            <w:r>
              <w:rPr>
                <w:rFonts w:asciiTheme="minorEastAsia" w:eastAsiaTheme="minorEastAsia" w:hAnsiTheme="minorEastAsia" w:cstheme="minorEastAsia" w:hint="eastAsia"/>
                <w:color w:val="000000"/>
                <w:sz w:val="24"/>
                <w:szCs w:val="24"/>
              </w:rPr>
              <w:t>Schonfeld</w:t>
            </w:r>
            <w:proofErr w:type="spellEnd"/>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彭家威</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北京润泽财富投资管理有限公司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郑旭</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博时基金管理有限公司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王子</w:t>
            </w:r>
            <w:proofErr w:type="gramStart"/>
            <w:r>
              <w:rPr>
                <w:rFonts w:asciiTheme="minorEastAsia" w:eastAsiaTheme="minorEastAsia" w:hAnsiTheme="minorEastAsia" w:cstheme="minorEastAsia" w:hint="eastAsia"/>
                <w:color w:val="000000"/>
                <w:sz w:val="24"/>
                <w:szCs w:val="24"/>
              </w:rPr>
              <w:t>潇</w:t>
            </w:r>
            <w:proofErr w:type="gramEnd"/>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财通证券股份有限公司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张雅容、赵晖、李晨</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创金合</w:t>
            </w:r>
            <w:proofErr w:type="gramEnd"/>
            <w:r>
              <w:rPr>
                <w:rFonts w:asciiTheme="minorEastAsia" w:eastAsiaTheme="minorEastAsia" w:hAnsiTheme="minorEastAsia" w:cstheme="minorEastAsia" w:hint="eastAsia"/>
                <w:color w:val="000000"/>
                <w:sz w:val="24"/>
                <w:szCs w:val="24"/>
              </w:rPr>
              <w:t>信基金管理有限公司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李晗</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东北证券股份有限公司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顾</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弘</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东方证券股份有限公司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杨卓成</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东吴证券股份有限公司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朱子璇、胡隽颖</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东兴证券股份有限公司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洪</w:t>
            </w:r>
            <w:proofErr w:type="gramStart"/>
            <w:r>
              <w:rPr>
                <w:rFonts w:asciiTheme="minorEastAsia" w:eastAsiaTheme="minorEastAsia" w:hAnsiTheme="minorEastAsia" w:cstheme="minorEastAsia" w:hint="eastAsia"/>
                <w:color w:val="000000"/>
                <w:sz w:val="24"/>
                <w:szCs w:val="24"/>
              </w:rPr>
              <w:t>一</w:t>
            </w:r>
            <w:proofErr w:type="gramEnd"/>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东亚前海证券有限责任公司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胡智元</w:t>
            </w:r>
            <w:proofErr w:type="gramEnd"/>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复通(山东)私募投资基金管理有限公司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余音</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耕霁(上海)投资管理有限公司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王立</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工银安盛人寿保险有限公司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甘晓瑶</w:t>
            </w:r>
            <w:proofErr w:type="gramEnd"/>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工银安</w:t>
            </w:r>
            <w:proofErr w:type="gramStart"/>
            <w:r>
              <w:rPr>
                <w:rFonts w:asciiTheme="minorEastAsia" w:eastAsiaTheme="minorEastAsia" w:hAnsiTheme="minorEastAsia" w:cstheme="minorEastAsia" w:hint="eastAsia"/>
                <w:color w:val="000000"/>
                <w:sz w:val="24"/>
                <w:szCs w:val="24"/>
              </w:rPr>
              <w:t>盛资产</w:t>
            </w:r>
            <w:proofErr w:type="gramEnd"/>
            <w:r>
              <w:rPr>
                <w:rFonts w:asciiTheme="minorEastAsia" w:eastAsiaTheme="minorEastAsia" w:hAnsiTheme="minorEastAsia" w:cstheme="minorEastAsia" w:hint="eastAsia"/>
                <w:color w:val="000000"/>
                <w:sz w:val="24"/>
                <w:szCs w:val="24"/>
              </w:rPr>
              <w:t>管理有限公司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牛品</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光大理财有限责任公司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方伟宁</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光大证券股份有限公司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邓怡亮</w:t>
            </w:r>
          </w:p>
        </w:tc>
      </w:tr>
      <w:tr w:rsidR="003B1ABD">
        <w:trPr>
          <w:trHeight w:val="285"/>
        </w:trPr>
        <w:tc>
          <w:tcPr>
            <w:tcW w:w="4361" w:type="dxa"/>
            <w:noWrap/>
          </w:tcPr>
          <w:p w:rsidR="003B1ABD" w:rsidRDefault="006062AF">
            <w:pP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广发证券股份有限公司</w:t>
            </w:r>
          </w:p>
        </w:tc>
        <w:tc>
          <w:tcPr>
            <w:tcW w:w="4359" w:type="dxa"/>
            <w:noWrap/>
          </w:tcPr>
          <w:p w:rsidR="003B1ABD" w:rsidRDefault="006062AF">
            <w:pPr>
              <w:textAlignment w:val="top"/>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曹瑞元</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国都证券股份有限公司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韩保倩</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w:t>
            </w:r>
            <w:proofErr w:type="gramStart"/>
            <w:r>
              <w:rPr>
                <w:rFonts w:asciiTheme="minorEastAsia" w:eastAsiaTheme="minorEastAsia" w:hAnsiTheme="minorEastAsia" w:cstheme="minorEastAsia" w:hint="eastAsia"/>
                <w:color w:val="000000"/>
                <w:sz w:val="24"/>
                <w:szCs w:val="24"/>
              </w:rPr>
              <w:t>海证券</w:t>
            </w:r>
            <w:proofErr w:type="gramEnd"/>
            <w:r>
              <w:rPr>
                <w:rFonts w:asciiTheme="minorEastAsia" w:eastAsiaTheme="minorEastAsia" w:hAnsiTheme="minorEastAsia" w:cstheme="minorEastAsia" w:hint="eastAsia"/>
                <w:color w:val="000000"/>
                <w:sz w:val="24"/>
                <w:szCs w:val="24"/>
              </w:rPr>
              <w:t>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吴亦辰</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国开证券股份有限公司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陈伟超</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国盛证券有限责任公司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魏燕英、杨润思</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国泰海通</w:t>
            </w:r>
            <w:proofErr w:type="gramEnd"/>
            <w:r>
              <w:rPr>
                <w:rFonts w:asciiTheme="minorEastAsia" w:eastAsiaTheme="minorEastAsia" w:hAnsiTheme="minorEastAsia" w:cstheme="minorEastAsia" w:hint="eastAsia"/>
                <w:color w:val="000000"/>
                <w:sz w:val="24"/>
                <w:szCs w:val="24"/>
              </w:rPr>
              <w:t>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陈杰、高远、马菁菁、徐鹏程、张唯佳、胡骏豪</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国泰君安国际控股有限公司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俞春梅</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国信证券股份有限公司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闵晓平、欧阳仕华</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果行育</w:t>
            </w:r>
            <w:proofErr w:type="gramStart"/>
            <w:r>
              <w:rPr>
                <w:rFonts w:asciiTheme="minorEastAsia" w:eastAsiaTheme="minorEastAsia" w:hAnsiTheme="minorEastAsia" w:cstheme="minorEastAsia" w:hint="eastAsia"/>
                <w:color w:val="000000"/>
                <w:sz w:val="24"/>
                <w:szCs w:val="24"/>
              </w:rPr>
              <w:t>德管理</w:t>
            </w:r>
            <w:proofErr w:type="gramEnd"/>
            <w:r>
              <w:rPr>
                <w:rFonts w:asciiTheme="minorEastAsia" w:eastAsiaTheme="minorEastAsia" w:hAnsiTheme="minorEastAsia" w:cstheme="minorEastAsia" w:hint="eastAsia"/>
                <w:color w:val="000000"/>
                <w:sz w:val="24"/>
                <w:szCs w:val="24"/>
              </w:rPr>
              <w:t>咨询(上海)有限公司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宋海亮</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海南果实私募基金管理有限公司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吴</w:t>
            </w:r>
            <w:proofErr w:type="gramStart"/>
            <w:r>
              <w:rPr>
                <w:rFonts w:asciiTheme="minorEastAsia" w:eastAsiaTheme="minorEastAsia" w:hAnsiTheme="minorEastAsia" w:cstheme="minorEastAsia" w:hint="eastAsia"/>
                <w:color w:val="000000"/>
                <w:sz w:val="24"/>
                <w:szCs w:val="24"/>
              </w:rPr>
              <w:t>浩</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海通证券股份有限公司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马菁菁</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昊泽致</w:t>
            </w:r>
            <w:proofErr w:type="gramEnd"/>
            <w:r>
              <w:rPr>
                <w:rFonts w:asciiTheme="minorEastAsia" w:eastAsiaTheme="minorEastAsia" w:hAnsiTheme="minorEastAsia" w:cstheme="minorEastAsia" w:hint="eastAsia"/>
                <w:color w:val="000000"/>
                <w:sz w:val="24"/>
                <w:szCs w:val="24"/>
              </w:rPr>
              <w:t>远(北京)私募基金管理有限公司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于航</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和</w:t>
            </w:r>
            <w:proofErr w:type="gramStart"/>
            <w:r>
              <w:rPr>
                <w:rFonts w:asciiTheme="minorEastAsia" w:eastAsiaTheme="minorEastAsia" w:hAnsiTheme="minorEastAsia" w:cstheme="minorEastAsia" w:hint="eastAsia"/>
                <w:color w:val="000000"/>
                <w:sz w:val="24"/>
                <w:szCs w:val="24"/>
              </w:rPr>
              <w:t>聚投资</w:t>
            </w:r>
            <w:proofErr w:type="gramEnd"/>
            <w:r>
              <w:rPr>
                <w:rFonts w:asciiTheme="minorEastAsia" w:eastAsiaTheme="minorEastAsia" w:hAnsiTheme="minorEastAsia" w:cstheme="minorEastAsia" w:hint="eastAsia"/>
                <w:color w:val="000000"/>
                <w:sz w:val="24"/>
                <w:szCs w:val="24"/>
              </w:rPr>
              <w:t>管理(浙江)有限公司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吴文峰</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鸿运私募基金管理(海南)有限公司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高波</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华安基金管理有限公司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栾超、陈泉宏</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华</w:t>
            </w:r>
            <w:proofErr w:type="gramStart"/>
            <w:r>
              <w:rPr>
                <w:rFonts w:asciiTheme="minorEastAsia" w:eastAsiaTheme="minorEastAsia" w:hAnsiTheme="minorEastAsia" w:cstheme="minorEastAsia" w:hint="eastAsia"/>
                <w:color w:val="000000"/>
                <w:sz w:val="24"/>
                <w:szCs w:val="24"/>
              </w:rPr>
              <w:t>宝基金</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刘赛赛</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华</w:t>
            </w:r>
            <w:proofErr w:type="gramStart"/>
            <w:r>
              <w:rPr>
                <w:rFonts w:asciiTheme="minorEastAsia" w:eastAsiaTheme="minorEastAsia" w:hAnsiTheme="minorEastAsia" w:cstheme="minorEastAsia" w:hint="eastAsia"/>
                <w:color w:val="000000"/>
                <w:sz w:val="24"/>
                <w:szCs w:val="24"/>
              </w:rPr>
              <w:t>福证券</w:t>
            </w:r>
            <w:proofErr w:type="gramEnd"/>
            <w:r>
              <w:rPr>
                <w:rFonts w:asciiTheme="minorEastAsia" w:eastAsiaTheme="minorEastAsia" w:hAnsiTheme="minorEastAsia" w:cstheme="minorEastAsia" w:hint="eastAsia"/>
                <w:color w:val="000000"/>
                <w:sz w:val="24"/>
                <w:szCs w:val="24"/>
              </w:rPr>
              <w:t>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魏征宇</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华西证券股份有限公司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杨睿、耿梓瑜</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华夏基金管理有限公司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黄皓</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汇华理财有限公司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徐纯波</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汇添富基金</w:t>
            </w:r>
            <w:proofErr w:type="gramEnd"/>
            <w:r>
              <w:rPr>
                <w:rFonts w:asciiTheme="minorEastAsia" w:eastAsiaTheme="minorEastAsia" w:hAnsiTheme="minorEastAsia" w:cstheme="minorEastAsia" w:hint="eastAsia"/>
                <w:color w:val="000000"/>
                <w:sz w:val="24"/>
                <w:szCs w:val="24"/>
              </w:rPr>
              <w:t>管理股份有限公司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李超、童心、吕天傲</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惠升基金</w:t>
            </w:r>
            <w:proofErr w:type="gramEnd"/>
            <w:r>
              <w:rPr>
                <w:rFonts w:asciiTheme="minorEastAsia" w:eastAsiaTheme="minorEastAsia" w:hAnsiTheme="minorEastAsia" w:cstheme="minorEastAsia" w:hint="eastAsia"/>
                <w:color w:val="000000"/>
                <w:sz w:val="24"/>
                <w:szCs w:val="24"/>
              </w:rPr>
              <w:t>管理有限责任公司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孙阳</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嘉</w:t>
            </w:r>
            <w:proofErr w:type="gramStart"/>
            <w:r>
              <w:rPr>
                <w:rFonts w:asciiTheme="minorEastAsia" w:eastAsiaTheme="minorEastAsia" w:hAnsiTheme="minorEastAsia" w:cstheme="minorEastAsia" w:hint="eastAsia"/>
                <w:color w:val="000000"/>
                <w:sz w:val="24"/>
                <w:szCs w:val="24"/>
              </w:rPr>
              <w:t>实基金</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宋阳、项静远</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建信基金管理有限责任公司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王东杰、高青青</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路博迈集团</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张艺佳</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美国海斯特耶路集团</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Peter Cheng</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民生证券股份有限公司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王一如</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摩根大通证券(亚太)有限公司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焦大齐</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摩根士丹利</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侯婧</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摩根士丹利国际股份有限公司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陳伯洋</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南方基金管理股份有限公司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熊琳、钟贇</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鹏华基金管理有限公司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黄奕彬</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三峡资本控股有限责任公司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王彦楠</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厦门象屿金象控股集团有限公司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张正阳</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上海禅龙资产管理有限公司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王斌</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上海东方证券资产管理有限公司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郑华航</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上海沣谊投资管理有限公司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窦金虎</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上海赋格投资管理有限公司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罗佶嘉</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上海瞰道资产管理有限公司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褚晓丹</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上海域秀资产管理有限公司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李磊</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深圳量度资本投资管理有限公司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黄聪</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深圳市尚诚资产</w:t>
            </w:r>
            <w:proofErr w:type="gramEnd"/>
            <w:r>
              <w:rPr>
                <w:rFonts w:asciiTheme="minorEastAsia" w:eastAsiaTheme="minorEastAsia" w:hAnsiTheme="minorEastAsia" w:cstheme="minorEastAsia" w:hint="eastAsia"/>
                <w:color w:val="000000"/>
                <w:sz w:val="24"/>
                <w:szCs w:val="24"/>
              </w:rPr>
              <w:t>管理有限责任公司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黄向前</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深圳星睿资产管理有限公司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陈迪枫</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深圳中天汇富基金管理有限公司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古道和、</w:t>
            </w:r>
            <w:proofErr w:type="gramStart"/>
            <w:r>
              <w:rPr>
                <w:rFonts w:asciiTheme="minorEastAsia" w:eastAsiaTheme="minorEastAsia" w:hAnsiTheme="minorEastAsia" w:cstheme="minorEastAsia" w:hint="eastAsia"/>
                <w:color w:val="000000"/>
                <w:sz w:val="24"/>
                <w:szCs w:val="24"/>
              </w:rPr>
              <w:t>慕陶</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泰康资产管理有限责任公司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陈正策</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天风证券股份有限公司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杨志芳</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天惠投资有限责任公司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金骁</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天</w:t>
            </w:r>
            <w:proofErr w:type="gramStart"/>
            <w:r>
              <w:rPr>
                <w:rFonts w:asciiTheme="minorEastAsia" w:eastAsiaTheme="minorEastAsia" w:hAnsiTheme="minorEastAsia" w:cstheme="minorEastAsia" w:hint="eastAsia"/>
                <w:color w:val="000000"/>
                <w:sz w:val="24"/>
                <w:szCs w:val="24"/>
              </w:rPr>
              <w:t>治基金</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林轩毅</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统一证券投资信托股份有限公司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林文健</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闻天私募证券投资基金管理(广州)有限公司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刘杰</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武汉洪</w:t>
            </w:r>
            <w:proofErr w:type="gramStart"/>
            <w:r>
              <w:rPr>
                <w:rFonts w:asciiTheme="minorEastAsia" w:eastAsiaTheme="minorEastAsia" w:hAnsiTheme="minorEastAsia" w:cstheme="minorEastAsia" w:hint="eastAsia"/>
                <w:color w:val="000000"/>
                <w:sz w:val="24"/>
                <w:szCs w:val="24"/>
              </w:rPr>
              <w:t>山资产</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王帅</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西部利得基金管理有限公司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陈保国</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西藏合众易晟投资管理有限责任公司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欧莹雁</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兴证全球</w:t>
            </w:r>
            <w:proofErr w:type="gramEnd"/>
            <w:r>
              <w:rPr>
                <w:rFonts w:asciiTheme="minorEastAsia" w:eastAsiaTheme="minorEastAsia" w:hAnsiTheme="minorEastAsia" w:cstheme="minorEastAsia" w:hint="eastAsia"/>
                <w:color w:val="000000"/>
                <w:sz w:val="24"/>
                <w:szCs w:val="24"/>
              </w:rPr>
              <w:t>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1D2129"/>
                <w:sz w:val="24"/>
                <w:szCs w:val="24"/>
              </w:rPr>
              <w:t>张哲源</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兴证证券</w:t>
            </w:r>
            <w:proofErr w:type="gramEnd"/>
            <w:r>
              <w:rPr>
                <w:rFonts w:asciiTheme="minorEastAsia" w:eastAsiaTheme="minorEastAsia" w:hAnsiTheme="minorEastAsia" w:cstheme="minorEastAsia" w:hint="eastAsia"/>
                <w:color w:val="000000"/>
                <w:sz w:val="24"/>
                <w:szCs w:val="24"/>
              </w:rPr>
              <w:t>资产管理有限公司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周学宇</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旭松资产</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张泽政</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易方达基金管理有限公司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陈思源</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圆信永丰</w:t>
            </w:r>
            <w:proofErr w:type="gramEnd"/>
            <w:r>
              <w:rPr>
                <w:rFonts w:asciiTheme="minorEastAsia" w:eastAsiaTheme="minorEastAsia" w:hAnsiTheme="minorEastAsia" w:cstheme="minorEastAsia" w:hint="eastAsia"/>
                <w:color w:val="000000"/>
                <w:sz w:val="24"/>
                <w:szCs w:val="24"/>
              </w:rPr>
              <w:t>基金管理有限公司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明兴</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长安国际信托股份有限公司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胡少平</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长城证券股份有限公司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孙诗宁</w:t>
            </w:r>
            <w:proofErr w:type="gramEnd"/>
            <w:r>
              <w:rPr>
                <w:rFonts w:asciiTheme="minorEastAsia" w:eastAsiaTheme="minorEastAsia" w:hAnsiTheme="minorEastAsia" w:cstheme="minorEastAsia" w:hint="eastAsia"/>
                <w:color w:val="000000"/>
                <w:sz w:val="24"/>
                <w:szCs w:val="24"/>
              </w:rPr>
              <w:t>、代</w:t>
            </w:r>
            <w:proofErr w:type="gramStart"/>
            <w:r>
              <w:rPr>
                <w:rFonts w:asciiTheme="minorEastAsia" w:eastAsiaTheme="minorEastAsia" w:hAnsiTheme="minorEastAsia" w:cstheme="minorEastAsia" w:hint="eastAsia"/>
                <w:color w:val="000000"/>
                <w:sz w:val="24"/>
                <w:szCs w:val="24"/>
              </w:rPr>
              <w:t>莹莹</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长江证券股份有限公司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周圣钧</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招商证券股份有限公司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左一锟、赵旭</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浙商基金</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宋亦旻</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lastRenderedPageBreak/>
              <w:t>浙商证券</w:t>
            </w:r>
            <w:proofErr w:type="gramEnd"/>
            <w:r>
              <w:rPr>
                <w:rFonts w:asciiTheme="minorEastAsia" w:eastAsiaTheme="minorEastAsia" w:hAnsiTheme="minorEastAsia" w:cstheme="minorEastAsia" w:hint="eastAsia"/>
                <w:color w:val="000000"/>
                <w:sz w:val="24"/>
                <w:szCs w:val="24"/>
              </w:rPr>
              <w:t>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张菁、曹宇</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中庚基金</w:t>
            </w:r>
            <w:proofErr w:type="gramEnd"/>
            <w:r>
              <w:rPr>
                <w:rFonts w:asciiTheme="minorEastAsia" w:eastAsiaTheme="minorEastAsia" w:hAnsiTheme="minorEastAsia" w:cstheme="minorEastAsia" w:hint="eastAsia"/>
                <w:color w:val="000000"/>
                <w:sz w:val="24"/>
                <w:szCs w:val="24"/>
              </w:rPr>
              <w:t>管理有限公司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杨舜杰</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中国国际金融股份有限公司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李佳瑛</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中国民生银行股份有限公司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杨桐</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中国人民养老保险有限责任公司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黄钰豪、吴强</w:t>
            </w:r>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中航信托股份有限公司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忻</w:t>
            </w:r>
            <w:proofErr w:type="gramEnd"/>
            <w:r>
              <w:rPr>
                <w:rFonts w:asciiTheme="minorEastAsia" w:eastAsiaTheme="minorEastAsia" w:hAnsiTheme="minorEastAsia" w:cstheme="minorEastAsia" w:hint="eastAsia"/>
                <w:color w:val="000000"/>
                <w:sz w:val="24"/>
                <w:szCs w:val="24"/>
              </w:rPr>
              <w:t>子</w:t>
            </w:r>
            <w:proofErr w:type="gramStart"/>
            <w:r>
              <w:rPr>
                <w:rFonts w:asciiTheme="minorEastAsia" w:eastAsiaTheme="minorEastAsia" w:hAnsiTheme="minorEastAsia" w:cstheme="minorEastAsia" w:hint="eastAsia"/>
                <w:color w:val="000000"/>
                <w:sz w:val="24"/>
                <w:szCs w:val="24"/>
              </w:rPr>
              <w:t>焕</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中信证券股份有限公司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林</w:t>
            </w:r>
            <w:proofErr w:type="gramStart"/>
            <w:r>
              <w:rPr>
                <w:rFonts w:asciiTheme="minorEastAsia" w:eastAsiaTheme="minorEastAsia" w:hAnsiTheme="minorEastAsia" w:cstheme="minorEastAsia" w:hint="eastAsia"/>
                <w:color w:val="000000"/>
                <w:sz w:val="24"/>
                <w:szCs w:val="24"/>
              </w:rPr>
              <w:t>劼</w:t>
            </w:r>
            <w:proofErr w:type="gramEnd"/>
          </w:p>
        </w:tc>
      </w:tr>
      <w:tr w:rsidR="003B1ABD">
        <w:trPr>
          <w:trHeight w:val="285"/>
        </w:trPr>
        <w:tc>
          <w:tcPr>
            <w:tcW w:w="4361"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中邮人寿保险股份有限公司</w:t>
            </w:r>
          </w:p>
        </w:tc>
        <w:tc>
          <w:tcPr>
            <w:tcW w:w="4359" w:type="dxa"/>
            <w:noWrap/>
            <w:vAlign w:val="center"/>
          </w:tcPr>
          <w:p w:rsidR="003B1ABD" w:rsidRDefault="006062AF">
            <w:pP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张文鹏</w:t>
            </w:r>
          </w:p>
        </w:tc>
      </w:tr>
    </w:tbl>
    <w:p w:rsidR="003B1ABD" w:rsidRDefault="003B1ABD"/>
    <w:sectPr w:rsidR="003B1ABD" w:rsidSect="003B1ABD">
      <w:footerReference w:type="default" r:id="rId8"/>
      <w:pgSz w:w="11906" w:h="16838"/>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E2" w:rsidRDefault="00FD6DE2" w:rsidP="003B1ABD">
      <w:r>
        <w:separator/>
      </w:r>
    </w:p>
  </w:endnote>
  <w:endnote w:type="continuationSeparator" w:id="0">
    <w:p w:rsidR="00FD6DE2" w:rsidRDefault="00FD6DE2" w:rsidP="003B1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610"/>
    </w:sdtPr>
    <w:sdtContent>
      <w:sdt>
        <w:sdtPr>
          <w:id w:val="171357217"/>
          <w:showingPlcHdr/>
        </w:sdtPr>
        <w:sdtContent>
          <w:p w:rsidR="003B1ABD" w:rsidRDefault="006062AF">
            <w:pPr>
              <w:pStyle w:val="a5"/>
              <w:ind w:firstLine="354"/>
              <w:jc w:val="center"/>
            </w:pPr>
            <w:r>
              <w:t xml:space="preserve">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E2" w:rsidRDefault="00FD6DE2" w:rsidP="003B1ABD">
      <w:r>
        <w:separator/>
      </w:r>
    </w:p>
  </w:footnote>
  <w:footnote w:type="continuationSeparator" w:id="0">
    <w:p w:rsidR="00FD6DE2" w:rsidRDefault="00FD6DE2" w:rsidP="003B1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FBC48"/>
    <w:multiLevelType w:val="singleLevel"/>
    <w:tmpl w:val="758FBC48"/>
    <w:lvl w:ilvl="0">
      <w:start w:val="9"/>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NTVmMWJhZjZlN2JjZTk3NGEyOWY1MzVmNzY1NWIwNTIifQ=="/>
  </w:docVars>
  <w:rsids>
    <w:rsidRoot w:val="00D171FD"/>
    <w:rsid w:val="00000482"/>
    <w:rsid w:val="000028A0"/>
    <w:rsid w:val="0000751C"/>
    <w:rsid w:val="000104BD"/>
    <w:rsid w:val="00010EBC"/>
    <w:rsid w:val="00011A92"/>
    <w:rsid w:val="00021A51"/>
    <w:rsid w:val="00021BE3"/>
    <w:rsid w:val="00021F2A"/>
    <w:rsid w:val="00024848"/>
    <w:rsid w:val="00034291"/>
    <w:rsid w:val="00034FCA"/>
    <w:rsid w:val="00040A27"/>
    <w:rsid w:val="0004199F"/>
    <w:rsid w:val="00045978"/>
    <w:rsid w:val="00057D7B"/>
    <w:rsid w:val="0006222D"/>
    <w:rsid w:val="00071560"/>
    <w:rsid w:val="00080B96"/>
    <w:rsid w:val="000961F3"/>
    <w:rsid w:val="000A5959"/>
    <w:rsid w:val="000B225E"/>
    <w:rsid w:val="000C56B6"/>
    <w:rsid w:val="000C7A85"/>
    <w:rsid w:val="000D3562"/>
    <w:rsid w:val="000F50D6"/>
    <w:rsid w:val="00102202"/>
    <w:rsid w:val="00110FCA"/>
    <w:rsid w:val="001118CE"/>
    <w:rsid w:val="00115A29"/>
    <w:rsid w:val="0013006E"/>
    <w:rsid w:val="00132EC5"/>
    <w:rsid w:val="00135133"/>
    <w:rsid w:val="00135784"/>
    <w:rsid w:val="00147291"/>
    <w:rsid w:val="00151C80"/>
    <w:rsid w:val="00153509"/>
    <w:rsid w:val="001616F2"/>
    <w:rsid w:val="00161F9F"/>
    <w:rsid w:val="001704A8"/>
    <w:rsid w:val="00187709"/>
    <w:rsid w:val="001933BB"/>
    <w:rsid w:val="00196504"/>
    <w:rsid w:val="001A0C99"/>
    <w:rsid w:val="001A56AE"/>
    <w:rsid w:val="001A6A93"/>
    <w:rsid w:val="001B19B2"/>
    <w:rsid w:val="001B1BAC"/>
    <w:rsid w:val="001B1D7A"/>
    <w:rsid w:val="001B2416"/>
    <w:rsid w:val="001B471B"/>
    <w:rsid w:val="001B5C91"/>
    <w:rsid w:val="001C1ED1"/>
    <w:rsid w:val="001D0890"/>
    <w:rsid w:val="001D61E8"/>
    <w:rsid w:val="001E5196"/>
    <w:rsid w:val="001E7C62"/>
    <w:rsid w:val="001F69F4"/>
    <w:rsid w:val="001F6A13"/>
    <w:rsid w:val="00200D3E"/>
    <w:rsid w:val="00203780"/>
    <w:rsid w:val="00205276"/>
    <w:rsid w:val="002209CC"/>
    <w:rsid w:val="00222B17"/>
    <w:rsid w:val="00230C9E"/>
    <w:rsid w:val="0024047B"/>
    <w:rsid w:val="00246B52"/>
    <w:rsid w:val="002511D1"/>
    <w:rsid w:val="00251A9F"/>
    <w:rsid w:val="002528DF"/>
    <w:rsid w:val="00253A51"/>
    <w:rsid w:val="002621A7"/>
    <w:rsid w:val="002625B6"/>
    <w:rsid w:val="00262C7A"/>
    <w:rsid w:val="00263DE3"/>
    <w:rsid w:val="00270997"/>
    <w:rsid w:val="00280DDA"/>
    <w:rsid w:val="00282CC8"/>
    <w:rsid w:val="00293226"/>
    <w:rsid w:val="002975C3"/>
    <w:rsid w:val="002A4FB9"/>
    <w:rsid w:val="002C1B3C"/>
    <w:rsid w:val="002D1274"/>
    <w:rsid w:val="002E4277"/>
    <w:rsid w:val="002E74BA"/>
    <w:rsid w:val="00304099"/>
    <w:rsid w:val="0031471F"/>
    <w:rsid w:val="00327B6F"/>
    <w:rsid w:val="003325B9"/>
    <w:rsid w:val="00333147"/>
    <w:rsid w:val="00334213"/>
    <w:rsid w:val="003402EC"/>
    <w:rsid w:val="003507D0"/>
    <w:rsid w:val="00350E19"/>
    <w:rsid w:val="00351C23"/>
    <w:rsid w:val="00351CF5"/>
    <w:rsid w:val="00354218"/>
    <w:rsid w:val="0035481F"/>
    <w:rsid w:val="00355D10"/>
    <w:rsid w:val="003620B2"/>
    <w:rsid w:val="0036461C"/>
    <w:rsid w:val="00366D3D"/>
    <w:rsid w:val="003700F7"/>
    <w:rsid w:val="00370F98"/>
    <w:rsid w:val="003774B3"/>
    <w:rsid w:val="00383ABE"/>
    <w:rsid w:val="00393B9B"/>
    <w:rsid w:val="00395938"/>
    <w:rsid w:val="003A3248"/>
    <w:rsid w:val="003A38FF"/>
    <w:rsid w:val="003B1ABD"/>
    <w:rsid w:val="003B25DE"/>
    <w:rsid w:val="003B2CC1"/>
    <w:rsid w:val="003B6807"/>
    <w:rsid w:val="003C2F64"/>
    <w:rsid w:val="003E0E12"/>
    <w:rsid w:val="003E372A"/>
    <w:rsid w:val="003E3D45"/>
    <w:rsid w:val="003E478D"/>
    <w:rsid w:val="003F6C3F"/>
    <w:rsid w:val="00410470"/>
    <w:rsid w:val="004119F0"/>
    <w:rsid w:val="004171AC"/>
    <w:rsid w:val="00417C81"/>
    <w:rsid w:val="00417D3E"/>
    <w:rsid w:val="00417FC7"/>
    <w:rsid w:val="004230FD"/>
    <w:rsid w:val="004269BC"/>
    <w:rsid w:val="00427320"/>
    <w:rsid w:val="004275DD"/>
    <w:rsid w:val="00434C4B"/>
    <w:rsid w:val="00436F8F"/>
    <w:rsid w:val="00440372"/>
    <w:rsid w:val="00445767"/>
    <w:rsid w:val="0046326D"/>
    <w:rsid w:val="00472716"/>
    <w:rsid w:val="0049535D"/>
    <w:rsid w:val="004B6F64"/>
    <w:rsid w:val="004C3916"/>
    <w:rsid w:val="004C6124"/>
    <w:rsid w:val="004C618B"/>
    <w:rsid w:val="004D3097"/>
    <w:rsid w:val="004E4D24"/>
    <w:rsid w:val="004F5BD3"/>
    <w:rsid w:val="00500F2B"/>
    <w:rsid w:val="00501A98"/>
    <w:rsid w:val="005069EF"/>
    <w:rsid w:val="005078B0"/>
    <w:rsid w:val="00507B19"/>
    <w:rsid w:val="005105C9"/>
    <w:rsid w:val="00512CE3"/>
    <w:rsid w:val="005139C3"/>
    <w:rsid w:val="005157E2"/>
    <w:rsid w:val="00534040"/>
    <w:rsid w:val="00543DA6"/>
    <w:rsid w:val="00546CA5"/>
    <w:rsid w:val="005568BA"/>
    <w:rsid w:val="005639AF"/>
    <w:rsid w:val="00565B8E"/>
    <w:rsid w:val="00571999"/>
    <w:rsid w:val="005732AB"/>
    <w:rsid w:val="005737BA"/>
    <w:rsid w:val="00585048"/>
    <w:rsid w:val="005931E0"/>
    <w:rsid w:val="005A378E"/>
    <w:rsid w:val="005A670F"/>
    <w:rsid w:val="005C0391"/>
    <w:rsid w:val="005C220B"/>
    <w:rsid w:val="005C79E4"/>
    <w:rsid w:val="005D6E21"/>
    <w:rsid w:val="005E28C9"/>
    <w:rsid w:val="005E5B52"/>
    <w:rsid w:val="005F4600"/>
    <w:rsid w:val="005F5070"/>
    <w:rsid w:val="005F7DA4"/>
    <w:rsid w:val="00601CA2"/>
    <w:rsid w:val="006062AF"/>
    <w:rsid w:val="00610019"/>
    <w:rsid w:val="0061727A"/>
    <w:rsid w:val="0063453F"/>
    <w:rsid w:val="00646A91"/>
    <w:rsid w:val="00647A73"/>
    <w:rsid w:val="0065201F"/>
    <w:rsid w:val="00657161"/>
    <w:rsid w:val="00662AC9"/>
    <w:rsid w:val="0067471D"/>
    <w:rsid w:val="00676260"/>
    <w:rsid w:val="0068344E"/>
    <w:rsid w:val="00683753"/>
    <w:rsid w:val="0068706F"/>
    <w:rsid w:val="00690357"/>
    <w:rsid w:val="006919E7"/>
    <w:rsid w:val="00693052"/>
    <w:rsid w:val="006944F5"/>
    <w:rsid w:val="006A16C6"/>
    <w:rsid w:val="006A6EAE"/>
    <w:rsid w:val="006E120B"/>
    <w:rsid w:val="006F0087"/>
    <w:rsid w:val="006F0DB0"/>
    <w:rsid w:val="00701013"/>
    <w:rsid w:val="00702F51"/>
    <w:rsid w:val="00707D35"/>
    <w:rsid w:val="0071039F"/>
    <w:rsid w:val="0071464D"/>
    <w:rsid w:val="00721D97"/>
    <w:rsid w:val="00727047"/>
    <w:rsid w:val="00731798"/>
    <w:rsid w:val="007366DB"/>
    <w:rsid w:val="00740CFD"/>
    <w:rsid w:val="007520F4"/>
    <w:rsid w:val="00761780"/>
    <w:rsid w:val="00763FDF"/>
    <w:rsid w:val="0076432E"/>
    <w:rsid w:val="00776429"/>
    <w:rsid w:val="0078167A"/>
    <w:rsid w:val="007878B6"/>
    <w:rsid w:val="00794C8C"/>
    <w:rsid w:val="00797E38"/>
    <w:rsid w:val="007A1FCE"/>
    <w:rsid w:val="007B00BF"/>
    <w:rsid w:val="007B5FD4"/>
    <w:rsid w:val="007B6782"/>
    <w:rsid w:val="007B7E66"/>
    <w:rsid w:val="007C6DF0"/>
    <w:rsid w:val="007D33AB"/>
    <w:rsid w:val="007D3680"/>
    <w:rsid w:val="007E0BE8"/>
    <w:rsid w:val="007E5E59"/>
    <w:rsid w:val="00801C0C"/>
    <w:rsid w:val="00802203"/>
    <w:rsid w:val="00806D14"/>
    <w:rsid w:val="0080777E"/>
    <w:rsid w:val="00807F85"/>
    <w:rsid w:val="008216A5"/>
    <w:rsid w:val="00826ADE"/>
    <w:rsid w:val="008308BB"/>
    <w:rsid w:val="00831DC3"/>
    <w:rsid w:val="00834381"/>
    <w:rsid w:val="00841138"/>
    <w:rsid w:val="00846951"/>
    <w:rsid w:val="008624C8"/>
    <w:rsid w:val="00873F90"/>
    <w:rsid w:val="00874B0D"/>
    <w:rsid w:val="0087713C"/>
    <w:rsid w:val="0089259B"/>
    <w:rsid w:val="00895D7E"/>
    <w:rsid w:val="008A6DF0"/>
    <w:rsid w:val="008C0C5C"/>
    <w:rsid w:val="008C0F84"/>
    <w:rsid w:val="008C13F3"/>
    <w:rsid w:val="008D24C2"/>
    <w:rsid w:val="008E5413"/>
    <w:rsid w:val="008E615D"/>
    <w:rsid w:val="008F14E0"/>
    <w:rsid w:val="009033B2"/>
    <w:rsid w:val="009056E0"/>
    <w:rsid w:val="00906ECA"/>
    <w:rsid w:val="0091071B"/>
    <w:rsid w:val="00910FAD"/>
    <w:rsid w:val="00911022"/>
    <w:rsid w:val="00911825"/>
    <w:rsid w:val="00921893"/>
    <w:rsid w:val="00927C61"/>
    <w:rsid w:val="009313B4"/>
    <w:rsid w:val="00947A3E"/>
    <w:rsid w:val="00950266"/>
    <w:rsid w:val="0095671B"/>
    <w:rsid w:val="0096309E"/>
    <w:rsid w:val="00964CAE"/>
    <w:rsid w:val="009666B0"/>
    <w:rsid w:val="00972071"/>
    <w:rsid w:val="0098060A"/>
    <w:rsid w:val="00981159"/>
    <w:rsid w:val="00995E0F"/>
    <w:rsid w:val="009B57CD"/>
    <w:rsid w:val="009D342F"/>
    <w:rsid w:val="009D5B90"/>
    <w:rsid w:val="009E7448"/>
    <w:rsid w:val="009F2412"/>
    <w:rsid w:val="009F2517"/>
    <w:rsid w:val="009F5C3D"/>
    <w:rsid w:val="00A014DB"/>
    <w:rsid w:val="00A05724"/>
    <w:rsid w:val="00A17435"/>
    <w:rsid w:val="00A30F76"/>
    <w:rsid w:val="00A345FB"/>
    <w:rsid w:val="00A35C68"/>
    <w:rsid w:val="00A36FB2"/>
    <w:rsid w:val="00A44DB6"/>
    <w:rsid w:val="00A46E92"/>
    <w:rsid w:val="00A5222C"/>
    <w:rsid w:val="00A545A6"/>
    <w:rsid w:val="00A56BCF"/>
    <w:rsid w:val="00A57DD2"/>
    <w:rsid w:val="00A6077D"/>
    <w:rsid w:val="00A620F8"/>
    <w:rsid w:val="00A65F80"/>
    <w:rsid w:val="00A66809"/>
    <w:rsid w:val="00A753BC"/>
    <w:rsid w:val="00A76C95"/>
    <w:rsid w:val="00A7701E"/>
    <w:rsid w:val="00A94DB3"/>
    <w:rsid w:val="00AA063A"/>
    <w:rsid w:val="00AA16C0"/>
    <w:rsid w:val="00AA4F32"/>
    <w:rsid w:val="00AA7A7B"/>
    <w:rsid w:val="00AB3B33"/>
    <w:rsid w:val="00AC0CAD"/>
    <w:rsid w:val="00AC1D9E"/>
    <w:rsid w:val="00AC3F79"/>
    <w:rsid w:val="00AE47AF"/>
    <w:rsid w:val="00AE5094"/>
    <w:rsid w:val="00AF5436"/>
    <w:rsid w:val="00B03FBB"/>
    <w:rsid w:val="00B0500C"/>
    <w:rsid w:val="00B0656E"/>
    <w:rsid w:val="00B1386E"/>
    <w:rsid w:val="00B2417C"/>
    <w:rsid w:val="00B24297"/>
    <w:rsid w:val="00B3174A"/>
    <w:rsid w:val="00B34B6C"/>
    <w:rsid w:val="00B36EFA"/>
    <w:rsid w:val="00B42072"/>
    <w:rsid w:val="00B4431C"/>
    <w:rsid w:val="00B44BFD"/>
    <w:rsid w:val="00B46566"/>
    <w:rsid w:val="00B5295D"/>
    <w:rsid w:val="00B56ACC"/>
    <w:rsid w:val="00B56F2A"/>
    <w:rsid w:val="00B608C9"/>
    <w:rsid w:val="00B60F49"/>
    <w:rsid w:val="00B61935"/>
    <w:rsid w:val="00B619E0"/>
    <w:rsid w:val="00B72704"/>
    <w:rsid w:val="00B74622"/>
    <w:rsid w:val="00B94846"/>
    <w:rsid w:val="00B95E2C"/>
    <w:rsid w:val="00B96CCE"/>
    <w:rsid w:val="00BA38D5"/>
    <w:rsid w:val="00BA54C7"/>
    <w:rsid w:val="00BB024F"/>
    <w:rsid w:val="00BB189C"/>
    <w:rsid w:val="00BB30B9"/>
    <w:rsid w:val="00BB6C79"/>
    <w:rsid w:val="00BC7E93"/>
    <w:rsid w:val="00BD0EA6"/>
    <w:rsid w:val="00BD790C"/>
    <w:rsid w:val="00BE4810"/>
    <w:rsid w:val="00BE5F12"/>
    <w:rsid w:val="00BF4B9E"/>
    <w:rsid w:val="00C029C3"/>
    <w:rsid w:val="00C051E8"/>
    <w:rsid w:val="00C07418"/>
    <w:rsid w:val="00C154A5"/>
    <w:rsid w:val="00C17792"/>
    <w:rsid w:val="00C17D69"/>
    <w:rsid w:val="00C20537"/>
    <w:rsid w:val="00C22A7E"/>
    <w:rsid w:val="00C31BDF"/>
    <w:rsid w:val="00C37C29"/>
    <w:rsid w:val="00C51535"/>
    <w:rsid w:val="00C71A35"/>
    <w:rsid w:val="00C823E3"/>
    <w:rsid w:val="00C82E8E"/>
    <w:rsid w:val="00C93538"/>
    <w:rsid w:val="00C93EA5"/>
    <w:rsid w:val="00C962E1"/>
    <w:rsid w:val="00C973E5"/>
    <w:rsid w:val="00C97795"/>
    <w:rsid w:val="00CA0A1A"/>
    <w:rsid w:val="00CA0CDD"/>
    <w:rsid w:val="00CA314C"/>
    <w:rsid w:val="00CA707D"/>
    <w:rsid w:val="00CB5FE1"/>
    <w:rsid w:val="00CB6742"/>
    <w:rsid w:val="00CD353A"/>
    <w:rsid w:val="00CD55DF"/>
    <w:rsid w:val="00CD63D7"/>
    <w:rsid w:val="00CF1EA6"/>
    <w:rsid w:val="00CF4EBE"/>
    <w:rsid w:val="00D0632A"/>
    <w:rsid w:val="00D07DC7"/>
    <w:rsid w:val="00D14C52"/>
    <w:rsid w:val="00D16E2F"/>
    <w:rsid w:val="00D171FD"/>
    <w:rsid w:val="00D17A1D"/>
    <w:rsid w:val="00D25991"/>
    <w:rsid w:val="00D25BEB"/>
    <w:rsid w:val="00D33B96"/>
    <w:rsid w:val="00D40E0F"/>
    <w:rsid w:val="00D40E18"/>
    <w:rsid w:val="00D439C3"/>
    <w:rsid w:val="00D51829"/>
    <w:rsid w:val="00D52268"/>
    <w:rsid w:val="00D610C2"/>
    <w:rsid w:val="00D625D9"/>
    <w:rsid w:val="00D6488F"/>
    <w:rsid w:val="00D66E99"/>
    <w:rsid w:val="00D7258C"/>
    <w:rsid w:val="00D82005"/>
    <w:rsid w:val="00D867A9"/>
    <w:rsid w:val="00D90617"/>
    <w:rsid w:val="00D9571A"/>
    <w:rsid w:val="00DA29D4"/>
    <w:rsid w:val="00DB090F"/>
    <w:rsid w:val="00DC2D0B"/>
    <w:rsid w:val="00DD369D"/>
    <w:rsid w:val="00DD6DB4"/>
    <w:rsid w:val="00DF3900"/>
    <w:rsid w:val="00E02202"/>
    <w:rsid w:val="00E03362"/>
    <w:rsid w:val="00E1675D"/>
    <w:rsid w:val="00E36E64"/>
    <w:rsid w:val="00E45445"/>
    <w:rsid w:val="00E4590A"/>
    <w:rsid w:val="00E46B4C"/>
    <w:rsid w:val="00E47A88"/>
    <w:rsid w:val="00E50452"/>
    <w:rsid w:val="00E52929"/>
    <w:rsid w:val="00E559D5"/>
    <w:rsid w:val="00E567BB"/>
    <w:rsid w:val="00E6350B"/>
    <w:rsid w:val="00E63F85"/>
    <w:rsid w:val="00E84F58"/>
    <w:rsid w:val="00E92EF8"/>
    <w:rsid w:val="00E939F7"/>
    <w:rsid w:val="00E9777E"/>
    <w:rsid w:val="00EA075B"/>
    <w:rsid w:val="00EA459D"/>
    <w:rsid w:val="00EB776F"/>
    <w:rsid w:val="00EC04C1"/>
    <w:rsid w:val="00EC49DF"/>
    <w:rsid w:val="00ED098A"/>
    <w:rsid w:val="00ED13FE"/>
    <w:rsid w:val="00ED583B"/>
    <w:rsid w:val="00ED70FF"/>
    <w:rsid w:val="00ED7469"/>
    <w:rsid w:val="00EF00F6"/>
    <w:rsid w:val="00EF0758"/>
    <w:rsid w:val="00EF72C7"/>
    <w:rsid w:val="00F00746"/>
    <w:rsid w:val="00F008B4"/>
    <w:rsid w:val="00F0535D"/>
    <w:rsid w:val="00F05E2A"/>
    <w:rsid w:val="00F11A3E"/>
    <w:rsid w:val="00F14988"/>
    <w:rsid w:val="00F22F4A"/>
    <w:rsid w:val="00F27FE8"/>
    <w:rsid w:val="00F34C41"/>
    <w:rsid w:val="00F447F6"/>
    <w:rsid w:val="00F454FA"/>
    <w:rsid w:val="00F47584"/>
    <w:rsid w:val="00F623FF"/>
    <w:rsid w:val="00F72230"/>
    <w:rsid w:val="00F727D3"/>
    <w:rsid w:val="00F74E48"/>
    <w:rsid w:val="00F759E5"/>
    <w:rsid w:val="00F77838"/>
    <w:rsid w:val="00F77BA4"/>
    <w:rsid w:val="00F83950"/>
    <w:rsid w:val="00F86B2F"/>
    <w:rsid w:val="00F9334D"/>
    <w:rsid w:val="00F94F12"/>
    <w:rsid w:val="00F94F1B"/>
    <w:rsid w:val="00F9573A"/>
    <w:rsid w:val="00FD0FBF"/>
    <w:rsid w:val="00FD6DE2"/>
    <w:rsid w:val="00FE70AE"/>
    <w:rsid w:val="00FF20C3"/>
    <w:rsid w:val="00FF4D61"/>
    <w:rsid w:val="01442E48"/>
    <w:rsid w:val="032D773E"/>
    <w:rsid w:val="08D20FCE"/>
    <w:rsid w:val="0A71688E"/>
    <w:rsid w:val="15F448B4"/>
    <w:rsid w:val="16610B7D"/>
    <w:rsid w:val="16895CFA"/>
    <w:rsid w:val="1B6B3B7D"/>
    <w:rsid w:val="1C3B25BA"/>
    <w:rsid w:val="20CF7A83"/>
    <w:rsid w:val="24A15381"/>
    <w:rsid w:val="323E7DF9"/>
    <w:rsid w:val="32E75EA6"/>
    <w:rsid w:val="334C7D7C"/>
    <w:rsid w:val="345D626E"/>
    <w:rsid w:val="350E29C1"/>
    <w:rsid w:val="380A7921"/>
    <w:rsid w:val="395F3AB7"/>
    <w:rsid w:val="438C21E0"/>
    <w:rsid w:val="44962420"/>
    <w:rsid w:val="498303A7"/>
    <w:rsid w:val="4DD94A09"/>
    <w:rsid w:val="4E52768D"/>
    <w:rsid w:val="4E5D2189"/>
    <w:rsid w:val="4FF705C0"/>
    <w:rsid w:val="562E2218"/>
    <w:rsid w:val="5C6F640C"/>
    <w:rsid w:val="659B0A53"/>
    <w:rsid w:val="6B985F2F"/>
    <w:rsid w:val="6D8747CE"/>
    <w:rsid w:val="728F36EF"/>
    <w:rsid w:val="757E2C96"/>
    <w:rsid w:val="7ED23D1E"/>
    <w:rsid w:val="7F0D33DB"/>
    <w:rsid w:val="7F1A3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B1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3B1ABD"/>
  </w:style>
  <w:style w:type="paragraph" w:styleId="a4">
    <w:name w:val="Balloon Text"/>
    <w:basedOn w:val="a"/>
    <w:link w:val="Char0"/>
    <w:autoRedefine/>
    <w:uiPriority w:val="99"/>
    <w:semiHidden/>
    <w:unhideWhenUsed/>
    <w:qFormat/>
    <w:rsid w:val="003B1ABD"/>
    <w:rPr>
      <w:sz w:val="18"/>
      <w:szCs w:val="18"/>
    </w:rPr>
  </w:style>
  <w:style w:type="paragraph" w:styleId="a5">
    <w:name w:val="footer"/>
    <w:basedOn w:val="a"/>
    <w:link w:val="Char1"/>
    <w:autoRedefine/>
    <w:uiPriority w:val="99"/>
    <w:unhideWhenUsed/>
    <w:qFormat/>
    <w:rsid w:val="003B1ABD"/>
    <w:pPr>
      <w:tabs>
        <w:tab w:val="center" w:pos="4153"/>
        <w:tab w:val="right" w:pos="8306"/>
      </w:tabs>
      <w:snapToGrid w:val="0"/>
    </w:pPr>
    <w:rPr>
      <w:sz w:val="18"/>
      <w:szCs w:val="18"/>
    </w:rPr>
  </w:style>
  <w:style w:type="paragraph" w:styleId="a6">
    <w:name w:val="header"/>
    <w:basedOn w:val="a"/>
    <w:link w:val="Char2"/>
    <w:autoRedefine/>
    <w:uiPriority w:val="99"/>
    <w:unhideWhenUsed/>
    <w:qFormat/>
    <w:rsid w:val="003B1AB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3B1ABD"/>
    <w:rPr>
      <w:b/>
      <w:bCs/>
    </w:rPr>
  </w:style>
  <w:style w:type="table" w:styleId="a8">
    <w:name w:val="Table Grid"/>
    <w:basedOn w:val="a1"/>
    <w:autoRedefine/>
    <w:uiPriority w:val="59"/>
    <w:qFormat/>
    <w:rsid w:val="003B1A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autoRedefine/>
    <w:uiPriority w:val="99"/>
    <w:semiHidden/>
    <w:unhideWhenUsed/>
    <w:qFormat/>
    <w:rsid w:val="003B1ABD"/>
    <w:rPr>
      <w:color w:val="800080" w:themeColor="followedHyperlink"/>
      <w:u w:val="single"/>
    </w:rPr>
  </w:style>
  <w:style w:type="character" w:styleId="aa">
    <w:name w:val="Hyperlink"/>
    <w:basedOn w:val="a0"/>
    <w:autoRedefine/>
    <w:uiPriority w:val="99"/>
    <w:unhideWhenUsed/>
    <w:qFormat/>
    <w:rsid w:val="003B1ABD"/>
    <w:rPr>
      <w:color w:val="0000FF" w:themeColor="hyperlink"/>
      <w:u w:val="single"/>
    </w:rPr>
  </w:style>
  <w:style w:type="character" w:styleId="ab">
    <w:name w:val="annotation reference"/>
    <w:basedOn w:val="a0"/>
    <w:uiPriority w:val="99"/>
    <w:semiHidden/>
    <w:unhideWhenUsed/>
    <w:qFormat/>
    <w:rsid w:val="003B1ABD"/>
    <w:rPr>
      <w:sz w:val="21"/>
      <w:szCs w:val="21"/>
    </w:rPr>
  </w:style>
  <w:style w:type="paragraph" w:styleId="ac">
    <w:name w:val="List Paragraph"/>
    <w:basedOn w:val="a"/>
    <w:autoRedefine/>
    <w:uiPriority w:val="34"/>
    <w:qFormat/>
    <w:rsid w:val="003B1ABD"/>
    <w:pPr>
      <w:ind w:firstLineChars="200" w:firstLine="420"/>
    </w:pPr>
  </w:style>
  <w:style w:type="character" w:customStyle="1" w:styleId="Char2">
    <w:name w:val="页眉 Char"/>
    <w:basedOn w:val="a0"/>
    <w:link w:val="a6"/>
    <w:autoRedefine/>
    <w:uiPriority w:val="99"/>
    <w:qFormat/>
    <w:rsid w:val="003B1ABD"/>
    <w:rPr>
      <w:rFonts w:ascii="Times New Roman" w:eastAsia="宋体" w:hAnsi="Times New Roman" w:cs="Times New Roman"/>
      <w:kern w:val="0"/>
      <w:sz w:val="18"/>
      <w:szCs w:val="18"/>
    </w:rPr>
  </w:style>
  <w:style w:type="character" w:customStyle="1" w:styleId="Char1">
    <w:name w:val="页脚 Char"/>
    <w:basedOn w:val="a0"/>
    <w:link w:val="a5"/>
    <w:autoRedefine/>
    <w:uiPriority w:val="99"/>
    <w:qFormat/>
    <w:rsid w:val="003B1ABD"/>
    <w:rPr>
      <w:rFonts w:ascii="Times New Roman" w:eastAsia="宋体" w:hAnsi="Times New Roman" w:cs="Times New Roman"/>
      <w:kern w:val="0"/>
      <w:sz w:val="18"/>
      <w:szCs w:val="18"/>
    </w:rPr>
  </w:style>
  <w:style w:type="character" w:customStyle="1" w:styleId="Char0">
    <w:name w:val="批注框文本 Char"/>
    <w:basedOn w:val="a0"/>
    <w:link w:val="a4"/>
    <w:autoRedefine/>
    <w:uiPriority w:val="99"/>
    <w:semiHidden/>
    <w:qFormat/>
    <w:rsid w:val="003B1ABD"/>
    <w:rPr>
      <w:rFonts w:ascii="Times New Roman" w:eastAsia="宋体" w:hAnsi="Times New Roman" w:cs="Times New Roman"/>
      <w:kern w:val="0"/>
      <w:sz w:val="18"/>
      <w:szCs w:val="18"/>
    </w:rPr>
  </w:style>
  <w:style w:type="character" w:customStyle="1" w:styleId="font21">
    <w:name w:val="font21"/>
    <w:basedOn w:val="a0"/>
    <w:qFormat/>
    <w:rsid w:val="003B1ABD"/>
    <w:rPr>
      <w:rFonts w:ascii="宋体" w:eastAsia="宋体" w:hAnsi="宋体" w:cs="宋体" w:hint="eastAsia"/>
      <w:color w:val="000000"/>
      <w:sz w:val="20"/>
      <w:szCs w:val="20"/>
      <w:u w:val="none"/>
    </w:rPr>
  </w:style>
  <w:style w:type="character" w:customStyle="1" w:styleId="font11">
    <w:name w:val="font11"/>
    <w:basedOn w:val="a0"/>
    <w:qFormat/>
    <w:rsid w:val="003B1ABD"/>
    <w:rPr>
      <w:rFonts w:ascii="Times New Roman" w:hAnsi="Times New Roman" w:cs="Times New Roman" w:hint="default"/>
      <w:color w:val="000000"/>
      <w:sz w:val="20"/>
      <w:szCs w:val="20"/>
      <w:u w:val="none"/>
    </w:rPr>
  </w:style>
  <w:style w:type="character" w:customStyle="1" w:styleId="Char">
    <w:name w:val="批注文字 Char"/>
    <w:basedOn w:val="a0"/>
    <w:link w:val="a3"/>
    <w:uiPriority w:val="99"/>
    <w:semiHidden/>
    <w:qFormat/>
    <w:rsid w:val="003B1ABD"/>
  </w:style>
  <w:style w:type="character" w:customStyle="1" w:styleId="Char3">
    <w:name w:val="批注主题 Char"/>
    <w:basedOn w:val="Char"/>
    <w:link w:val="a7"/>
    <w:uiPriority w:val="99"/>
    <w:semiHidden/>
    <w:qFormat/>
    <w:rsid w:val="003B1ABD"/>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DB03-6E4F-4003-BBE0-1FB075EC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835</Words>
  <Characters>4762</Characters>
  <Application>Microsoft Office Word</Application>
  <DocSecurity>0</DocSecurity>
  <Lines>39</Lines>
  <Paragraphs>11</Paragraphs>
  <ScaleCrop>false</ScaleCrop>
  <Company>Microsoft</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吴优</dc:creator>
  <cp:lastModifiedBy>日月股份\吴优</cp:lastModifiedBy>
  <cp:revision>27</cp:revision>
  <cp:lastPrinted>2024-03-28T00:02:00Z</cp:lastPrinted>
  <dcterms:created xsi:type="dcterms:W3CDTF">2025-03-26T07:36:00Z</dcterms:created>
  <dcterms:modified xsi:type="dcterms:W3CDTF">2025-05-30T07:52:00Z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774A325788CB413999F96CD41344A294_13</vt:lpwstr>
  </property>
  <property fmtid="{D5CDD505-2E9C-101B-9397-08002B2CF9AE}" pid="4" name="KSOTemplateDocerSaveRecord">
    <vt:lpwstr>eyJoZGlkIjoiNTVmMWJhZjZlN2JjZTk3NGEyOWY1MzVmNzY1NWIwNTIiLCJ1c2VySWQiOiI0MTM1MTkwNzUifQ==</vt:lpwstr>
  </property>
</Properties>
</file>