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4CB88" w14:textId="77777777" w:rsidR="00347AE9" w:rsidRDefault="006C184A">
      <w:pPr>
        <w:jc w:val="left"/>
        <w:rPr>
          <w:rFonts w:ascii="宋体" w:hAnsi="宋体"/>
          <w:b/>
          <w:szCs w:val="21"/>
        </w:rPr>
      </w:pPr>
      <w:r>
        <w:rPr>
          <w:rFonts w:ascii="宋体" w:hAnsi="宋体" w:hint="eastAsia"/>
          <w:b/>
          <w:szCs w:val="21"/>
        </w:rPr>
        <w:t>证券代码：</w:t>
      </w:r>
      <w:r>
        <w:rPr>
          <w:rFonts w:ascii="宋体" w:hAnsi="宋体"/>
          <w:b/>
          <w:szCs w:val="21"/>
        </w:rPr>
        <w:t>688767</w:t>
      </w:r>
      <w:r>
        <w:rPr>
          <w:rFonts w:ascii="宋体" w:hAnsi="宋体" w:hint="eastAsia"/>
          <w:b/>
          <w:szCs w:val="21"/>
        </w:rPr>
        <w:t xml:space="preserve">                      </w:t>
      </w:r>
      <w:r>
        <w:rPr>
          <w:rFonts w:ascii="宋体" w:hAnsi="宋体"/>
          <w:b/>
          <w:szCs w:val="21"/>
        </w:rPr>
        <w:t xml:space="preserve">                      </w:t>
      </w:r>
      <w:r>
        <w:rPr>
          <w:rFonts w:ascii="宋体" w:hAnsi="宋体" w:hint="eastAsia"/>
          <w:b/>
          <w:szCs w:val="21"/>
        </w:rPr>
        <w:t>公司简称：</w:t>
      </w:r>
      <w:proofErr w:type="gramStart"/>
      <w:r>
        <w:rPr>
          <w:rFonts w:ascii="宋体" w:hAnsi="宋体"/>
          <w:b/>
          <w:szCs w:val="21"/>
        </w:rPr>
        <w:t>博拓生物</w:t>
      </w:r>
      <w:proofErr w:type="gramEnd"/>
    </w:p>
    <w:p w14:paraId="12A8F919" w14:textId="77777777" w:rsidR="00347AE9" w:rsidRDefault="006C184A">
      <w:pPr>
        <w:spacing w:beforeLines="100" w:before="312" w:line="360" w:lineRule="auto"/>
        <w:jc w:val="center"/>
        <w:rPr>
          <w:rFonts w:ascii="宋体" w:hAnsi="宋体" w:cs="宋体"/>
          <w:b/>
          <w:sz w:val="32"/>
          <w:szCs w:val="32"/>
        </w:rPr>
      </w:pPr>
      <w:proofErr w:type="gramStart"/>
      <w:r>
        <w:rPr>
          <w:rFonts w:ascii="宋体" w:hAnsi="宋体" w:cs="宋体" w:hint="eastAsia"/>
          <w:b/>
          <w:sz w:val="32"/>
          <w:szCs w:val="32"/>
        </w:rPr>
        <w:t>杭州博拓生物</w:t>
      </w:r>
      <w:proofErr w:type="gramEnd"/>
      <w:r>
        <w:rPr>
          <w:rFonts w:ascii="宋体" w:hAnsi="宋体" w:cs="宋体" w:hint="eastAsia"/>
          <w:b/>
          <w:sz w:val="32"/>
          <w:szCs w:val="32"/>
        </w:rPr>
        <w:t>科技股份有限公司</w:t>
      </w:r>
    </w:p>
    <w:p w14:paraId="6EE9A58D" w14:textId="77777777" w:rsidR="00347AE9" w:rsidRDefault="006C184A">
      <w:pPr>
        <w:spacing w:afterLines="50" w:after="156" w:line="360" w:lineRule="auto"/>
        <w:jc w:val="center"/>
        <w:rPr>
          <w:rFonts w:ascii="宋体" w:hAnsi="宋体" w:cs="宋体"/>
          <w:b/>
          <w:sz w:val="32"/>
          <w:szCs w:val="32"/>
        </w:rPr>
      </w:pPr>
      <w:r>
        <w:rPr>
          <w:rFonts w:ascii="宋体" w:hAnsi="宋体" w:cs="宋体" w:hint="eastAsia"/>
          <w:b/>
          <w:sz w:val="32"/>
          <w:szCs w:val="32"/>
        </w:rPr>
        <w:t>投资者关系活动记录表</w:t>
      </w:r>
    </w:p>
    <w:p w14:paraId="4CC44B68" w14:textId="77777777" w:rsidR="00347AE9" w:rsidRDefault="006C184A">
      <w:pPr>
        <w:jc w:val="left"/>
        <w:rPr>
          <w:rFonts w:ascii="宋体" w:hAnsi="宋体"/>
          <w:b/>
          <w:szCs w:val="21"/>
        </w:rPr>
      </w:pPr>
      <w:r>
        <w:rPr>
          <w:rFonts w:ascii="宋体" w:hAnsi="宋体" w:hint="eastAsia"/>
          <w:b/>
          <w:szCs w:val="21"/>
        </w:rPr>
        <w:t>编号：2</w:t>
      </w:r>
      <w:r>
        <w:rPr>
          <w:rFonts w:ascii="宋体" w:hAnsi="宋体"/>
          <w:b/>
          <w:szCs w:val="21"/>
        </w:rPr>
        <w:t>025-002</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033"/>
      </w:tblGrid>
      <w:tr w:rsidR="00347AE9" w14:paraId="0515983F" w14:textId="77777777">
        <w:trPr>
          <w:trHeight w:val="838"/>
          <w:jc w:val="center"/>
        </w:trPr>
        <w:tc>
          <w:tcPr>
            <w:tcW w:w="2263" w:type="dxa"/>
            <w:shd w:val="clear" w:color="auto" w:fill="auto"/>
            <w:vAlign w:val="center"/>
          </w:tcPr>
          <w:p w14:paraId="6A55546F" w14:textId="77777777" w:rsidR="00347AE9" w:rsidRDefault="006C184A">
            <w:pPr>
              <w:rPr>
                <w:b/>
                <w:sz w:val="24"/>
                <w:szCs w:val="24"/>
              </w:rPr>
            </w:pPr>
            <w:r>
              <w:rPr>
                <w:rFonts w:hint="eastAsia"/>
                <w:b/>
                <w:sz w:val="24"/>
                <w:szCs w:val="24"/>
              </w:rPr>
              <w:t>投资者关系活动类别</w:t>
            </w:r>
          </w:p>
        </w:tc>
        <w:tc>
          <w:tcPr>
            <w:tcW w:w="6033" w:type="dxa"/>
            <w:shd w:val="clear" w:color="auto" w:fill="auto"/>
            <w:vAlign w:val="center"/>
          </w:tcPr>
          <w:p w14:paraId="6804639B" w14:textId="77777777" w:rsidR="00347AE9" w:rsidRDefault="006C184A">
            <w:pPr>
              <w:spacing w:line="360" w:lineRule="auto"/>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特定对象调研        </w:t>
            </w:r>
            <w:r>
              <w:rPr>
                <w:rFonts w:ascii="宋体" w:hAnsi="宋体"/>
                <w:b/>
                <w:bCs/>
                <w:iCs/>
                <w:sz w:val="24"/>
                <w:szCs w:val="24"/>
              </w:rPr>
              <w:fldChar w:fldCharType="begin"/>
            </w:r>
            <w:r>
              <w:rPr>
                <w:rFonts w:ascii="宋体" w:hAnsi="宋体"/>
                <w:b/>
                <w:bCs/>
                <w:iCs/>
                <w:sz w:val="24"/>
                <w:szCs w:val="24"/>
              </w:rPr>
              <w:instrText xml:space="preserve"> </w:instrText>
            </w:r>
            <w:r>
              <w:rPr>
                <w:rFonts w:ascii="宋体" w:hAnsi="宋体" w:hint="eastAsia"/>
                <w:b/>
                <w:bCs/>
                <w:iCs/>
                <w:sz w:val="24"/>
                <w:szCs w:val="24"/>
              </w:rPr>
              <w:instrText>eq \o\ac(□,</w:instrText>
            </w:r>
            <w:r>
              <w:rPr>
                <w:rFonts w:ascii="宋体" w:hAnsi="宋体" w:hint="eastAsia"/>
                <w:b/>
                <w:bCs/>
                <w:iCs/>
                <w:position w:val="2"/>
                <w:sz w:val="16"/>
                <w:szCs w:val="24"/>
              </w:rPr>
              <w:instrText>√</w:instrText>
            </w:r>
            <w:r>
              <w:rPr>
                <w:rFonts w:ascii="宋体" w:hAnsi="宋体" w:hint="eastAsia"/>
                <w:b/>
                <w:bCs/>
                <w:iCs/>
                <w:sz w:val="24"/>
                <w:szCs w:val="24"/>
              </w:rPr>
              <w:instrText>)</w:instrText>
            </w:r>
            <w:r>
              <w:rPr>
                <w:rFonts w:ascii="宋体" w:hAnsi="宋体"/>
                <w:b/>
                <w:bCs/>
                <w:iCs/>
                <w:sz w:val="24"/>
                <w:szCs w:val="24"/>
              </w:rPr>
              <w:fldChar w:fldCharType="end"/>
            </w:r>
            <w:r>
              <w:rPr>
                <w:rFonts w:ascii="宋体" w:hAnsi="宋体" w:hint="eastAsia"/>
                <w:sz w:val="24"/>
                <w:szCs w:val="24"/>
              </w:rPr>
              <w:t>分析师会议</w:t>
            </w:r>
          </w:p>
          <w:p w14:paraId="61C04B34" w14:textId="77777777" w:rsidR="00347AE9" w:rsidRDefault="006C184A">
            <w:pPr>
              <w:spacing w:line="360" w:lineRule="auto"/>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14:paraId="7F87B4AA" w14:textId="77777777" w:rsidR="00347AE9" w:rsidRDefault="006C184A">
            <w:pPr>
              <w:spacing w:line="360" w:lineRule="auto"/>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b/>
                <w:bCs/>
                <w:iCs/>
                <w:sz w:val="24"/>
                <w:szCs w:val="24"/>
              </w:rPr>
              <w:fldChar w:fldCharType="begin"/>
            </w:r>
            <w:r>
              <w:rPr>
                <w:rFonts w:ascii="宋体" w:hAnsi="宋体"/>
                <w:b/>
                <w:bCs/>
                <w:iCs/>
                <w:sz w:val="24"/>
                <w:szCs w:val="24"/>
              </w:rPr>
              <w:instrText xml:space="preserve"> </w:instrText>
            </w:r>
            <w:r>
              <w:rPr>
                <w:rFonts w:ascii="宋体" w:hAnsi="宋体" w:hint="eastAsia"/>
                <w:b/>
                <w:bCs/>
                <w:iCs/>
                <w:sz w:val="24"/>
                <w:szCs w:val="24"/>
              </w:rPr>
              <w:instrText>eq \o\ac(□,</w:instrText>
            </w:r>
            <w:r>
              <w:rPr>
                <w:rFonts w:ascii="宋体" w:hAnsi="宋体" w:hint="eastAsia"/>
                <w:b/>
                <w:bCs/>
                <w:iCs/>
                <w:position w:val="2"/>
                <w:sz w:val="16"/>
                <w:szCs w:val="24"/>
              </w:rPr>
              <w:instrText>√</w:instrText>
            </w:r>
            <w:r>
              <w:rPr>
                <w:rFonts w:ascii="宋体" w:hAnsi="宋体" w:hint="eastAsia"/>
                <w:b/>
                <w:bCs/>
                <w:iCs/>
                <w:sz w:val="24"/>
                <w:szCs w:val="24"/>
              </w:rPr>
              <w:instrText>)</w:instrText>
            </w:r>
            <w:r>
              <w:rPr>
                <w:rFonts w:ascii="宋体" w:hAnsi="宋体"/>
                <w:b/>
                <w:bCs/>
                <w:iCs/>
                <w:sz w:val="24"/>
                <w:szCs w:val="24"/>
              </w:rPr>
              <w:fldChar w:fldCharType="end"/>
            </w:r>
            <w:r>
              <w:rPr>
                <w:rFonts w:ascii="宋体" w:hAnsi="宋体" w:hint="eastAsia"/>
                <w:sz w:val="24"/>
                <w:szCs w:val="24"/>
              </w:rPr>
              <w:t>路演活动</w:t>
            </w:r>
          </w:p>
          <w:p w14:paraId="0BE721A0" w14:textId="77777777" w:rsidR="00347AE9" w:rsidRDefault="006C184A">
            <w:pPr>
              <w:tabs>
                <w:tab w:val="left" w:pos="2690"/>
                <w:tab w:val="center" w:pos="3199"/>
              </w:tabs>
              <w:spacing w:line="360" w:lineRule="auto"/>
              <w:rPr>
                <w:rFonts w:ascii="宋体" w:hAnsi="宋体"/>
                <w:bCs/>
                <w:iCs/>
                <w:sz w:val="24"/>
                <w:szCs w:val="24"/>
              </w:rPr>
            </w:pPr>
            <w:r>
              <w:rPr>
                <w:rFonts w:ascii="宋体" w:hAnsi="宋体" w:hint="eastAsia"/>
                <w:bCs/>
                <w:iCs/>
                <w:sz w:val="24"/>
                <w:szCs w:val="24"/>
              </w:rPr>
              <w:t>□</w:t>
            </w:r>
            <w:r>
              <w:rPr>
                <w:rFonts w:ascii="宋体" w:hAnsi="宋体" w:hint="eastAsia"/>
                <w:sz w:val="24"/>
                <w:szCs w:val="24"/>
              </w:rPr>
              <w:t>现场参观</w:t>
            </w:r>
            <w:r>
              <w:rPr>
                <w:rFonts w:ascii="宋体" w:hAnsi="宋体" w:hint="eastAsia"/>
                <w:b/>
                <w:sz w:val="24"/>
                <w:szCs w:val="24"/>
              </w:rPr>
              <w:t xml:space="preserve"> </w:t>
            </w:r>
            <w:r>
              <w:rPr>
                <w:rFonts w:ascii="宋体" w:hAnsi="宋体"/>
                <w:b/>
                <w:sz w:val="24"/>
                <w:szCs w:val="24"/>
              </w:rPr>
              <w:t xml:space="preserve">           </w:t>
            </w:r>
            <w:r>
              <w:rPr>
                <w:rFonts w:ascii="宋体" w:hAnsi="宋体"/>
                <w:b/>
                <w:bCs/>
                <w:iCs/>
                <w:sz w:val="24"/>
                <w:szCs w:val="24"/>
              </w:rPr>
              <w:fldChar w:fldCharType="begin"/>
            </w:r>
            <w:r>
              <w:rPr>
                <w:rFonts w:ascii="宋体" w:hAnsi="宋体"/>
                <w:b/>
                <w:bCs/>
                <w:iCs/>
                <w:sz w:val="24"/>
                <w:szCs w:val="24"/>
              </w:rPr>
              <w:instrText xml:space="preserve"> </w:instrText>
            </w:r>
            <w:r>
              <w:rPr>
                <w:rFonts w:ascii="宋体" w:hAnsi="宋体" w:hint="eastAsia"/>
                <w:b/>
                <w:bCs/>
                <w:iCs/>
                <w:sz w:val="24"/>
                <w:szCs w:val="24"/>
              </w:rPr>
              <w:instrText>eq \o\ac(□,</w:instrText>
            </w:r>
            <w:r>
              <w:rPr>
                <w:rFonts w:ascii="宋体" w:hAnsi="宋体" w:hint="eastAsia"/>
                <w:b/>
                <w:bCs/>
                <w:iCs/>
                <w:position w:val="2"/>
                <w:sz w:val="16"/>
                <w:szCs w:val="24"/>
              </w:rPr>
              <w:instrText>√</w:instrText>
            </w:r>
            <w:r>
              <w:rPr>
                <w:rFonts w:ascii="宋体" w:hAnsi="宋体" w:hint="eastAsia"/>
                <w:b/>
                <w:bCs/>
                <w:iCs/>
                <w:sz w:val="24"/>
                <w:szCs w:val="24"/>
              </w:rPr>
              <w:instrText>)</w:instrText>
            </w:r>
            <w:r>
              <w:rPr>
                <w:rFonts w:ascii="宋体" w:hAnsi="宋体"/>
                <w:b/>
                <w:bCs/>
                <w:iCs/>
                <w:sz w:val="24"/>
                <w:szCs w:val="24"/>
              </w:rPr>
              <w:fldChar w:fldCharType="end"/>
            </w:r>
            <w:r>
              <w:rPr>
                <w:rFonts w:ascii="宋体" w:hAnsi="宋体" w:hint="eastAsia"/>
                <w:sz w:val="24"/>
                <w:szCs w:val="24"/>
              </w:rPr>
              <w:t>电话会议</w:t>
            </w:r>
          </w:p>
          <w:p w14:paraId="7F3D794A" w14:textId="77777777" w:rsidR="00347AE9" w:rsidRDefault="006C184A">
            <w:pPr>
              <w:spacing w:line="360" w:lineRule="auto"/>
              <w:rPr>
                <w:sz w:val="24"/>
                <w:szCs w:val="24"/>
              </w:rPr>
            </w:pPr>
            <w:r>
              <w:rPr>
                <w:rFonts w:ascii="宋体" w:hAnsi="宋体" w:hint="eastAsia"/>
                <w:bCs/>
                <w:iCs/>
                <w:sz w:val="24"/>
                <w:szCs w:val="24"/>
              </w:rPr>
              <w:t>□</w:t>
            </w:r>
            <w:r>
              <w:rPr>
                <w:rFonts w:ascii="宋体" w:hAnsi="宋体" w:hint="eastAsia"/>
                <w:sz w:val="24"/>
                <w:szCs w:val="24"/>
              </w:rPr>
              <w:t>其他 （</w:t>
            </w:r>
            <w:proofErr w:type="gramStart"/>
            <w:r>
              <w:rPr>
                <w:rFonts w:ascii="宋体" w:hAnsi="宋体" w:hint="eastAsia"/>
                <w:sz w:val="24"/>
                <w:szCs w:val="24"/>
                <w:u w:val="single"/>
              </w:rPr>
              <w:t>请文字</w:t>
            </w:r>
            <w:proofErr w:type="gramEnd"/>
            <w:r>
              <w:rPr>
                <w:rFonts w:ascii="宋体" w:hAnsi="宋体" w:hint="eastAsia"/>
                <w:sz w:val="24"/>
                <w:szCs w:val="24"/>
                <w:u w:val="single"/>
              </w:rPr>
              <w:t>说明其他活动内容）</w:t>
            </w:r>
          </w:p>
        </w:tc>
      </w:tr>
      <w:tr w:rsidR="00347AE9" w14:paraId="1DD1D392" w14:textId="77777777">
        <w:trPr>
          <w:trHeight w:val="838"/>
          <w:jc w:val="center"/>
        </w:trPr>
        <w:tc>
          <w:tcPr>
            <w:tcW w:w="2263" w:type="dxa"/>
            <w:shd w:val="clear" w:color="auto" w:fill="auto"/>
            <w:vAlign w:val="center"/>
          </w:tcPr>
          <w:p w14:paraId="3332452F" w14:textId="77777777" w:rsidR="00347AE9" w:rsidRDefault="006C184A">
            <w:pPr>
              <w:rPr>
                <w:b/>
                <w:sz w:val="24"/>
                <w:szCs w:val="24"/>
              </w:rPr>
            </w:pPr>
            <w:r>
              <w:rPr>
                <w:rFonts w:hint="eastAsia"/>
                <w:b/>
                <w:sz w:val="24"/>
                <w:szCs w:val="24"/>
              </w:rPr>
              <w:t>参与单位名称及人员姓名</w:t>
            </w:r>
          </w:p>
        </w:tc>
        <w:tc>
          <w:tcPr>
            <w:tcW w:w="6033" w:type="dxa"/>
            <w:shd w:val="clear" w:color="auto" w:fill="auto"/>
            <w:vAlign w:val="center"/>
          </w:tcPr>
          <w:p w14:paraId="7F143CFD" w14:textId="536B5164" w:rsidR="00347AE9" w:rsidRDefault="006C184A">
            <w:pPr>
              <w:spacing w:line="360" w:lineRule="exact"/>
              <w:rPr>
                <w:rFonts w:ascii="宋体" w:hAnsi="宋体" w:cs="宋体"/>
                <w:bCs/>
                <w:iCs/>
                <w:color w:val="000000"/>
                <w:sz w:val="24"/>
                <w:lang w:val="en-GB"/>
              </w:rPr>
            </w:pPr>
            <w:r>
              <w:rPr>
                <w:rFonts w:ascii="宋体" w:hAnsi="宋体" w:cs="宋体" w:hint="eastAsia"/>
                <w:bCs/>
                <w:iCs/>
                <w:color w:val="000000"/>
                <w:sz w:val="24"/>
                <w:lang w:val="en-GB"/>
              </w:rPr>
              <w:t>中信建投：王在存、李虹达、朱红亮、喻胜锋；</w:t>
            </w:r>
          </w:p>
          <w:p w14:paraId="448A5786" w14:textId="571E51C7" w:rsidR="00347AE9" w:rsidRDefault="006C184A">
            <w:pPr>
              <w:spacing w:line="360" w:lineRule="exact"/>
              <w:rPr>
                <w:rFonts w:ascii="宋体" w:hAnsi="宋体" w:cs="宋体"/>
                <w:bCs/>
                <w:iCs/>
                <w:color w:val="000000"/>
                <w:sz w:val="24"/>
                <w:lang w:val="en-GB"/>
              </w:rPr>
            </w:pPr>
            <w:r>
              <w:rPr>
                <w:rFonts w:ascii="宋体" w:hAnsi="宋体" w:cs="宋体" w:hint="eastAsia"/>
                <w:bCs/>
                <w:iCs/>
                <w:color w:val="000000"/>
                <w:sz w:val="24"/>
                <w:lang w:val="en-GB"/>
              </w:rPr>
              <w:t>百年保险资管：李翘楚、陈兴；</w:t>
            </w:r>
          </w:p>
          <w:p w14:paraId="0B3A79FF" w14:textId="07E5B152" w:rsidR="00347AE9" w:rsidRDefault="006C184A">
            <w:pPr>
              <w:spacing w:line="360" w:lineRule="exact"/>
              <w:rPr>
                <w:rFonts w:ascii="宋体" w:hAnsi="宋体" w:cs="宋体"/>
                <w:bCs/>
                <w:iCs/>
                <w:color w:val="000000"/>
                <w:sz w:val="24"/>
                <w:lang w:val="en-GB"/>
              </w:rPr>
            </w:pPr>
            <w:r>
              <w:rPr>
                <w:rFonts w:ascii="宋体" w:hAnsi="宋体" w:cs="宋体" w:hint="eastAsia"/>
                <w:bCs/>
                <w:iCs/>
                <w:color w:val="000000"/>
                <w:sz w:val="24"/>
                <w:lang w:val="en-GB"/>
              </w:rPr>
              <w:t>万家基金：王霄音、耿嘉洲、刘洋、</w:t>
            </w:r>
            <w:proofErr w:type="gramStart"/>
            <w:r>
              <w:rPr>
                <w:rFonts w:ascii="宋体" w:hAnsi="宋体" w:cs="宋体" w:hint="eastAsia"/>
                <w:bCs/>
                <w:iCs/>
                <w:color w:val="000000"/>
                <w:sz w:val="24"/>
                <w:lang w:val="en-GB"/>
              </w:rPr>
              <w:t>况</w:t>
            </w:r>
            <w:proofErr w:type="gramEnd"/>
            <w:r>
              <w:rPr>
                <w:rFonts w:ascii="宋体" w:hAnsi="宋体" w:cs="宋体" w:hint="eastAsia"/>
                <w:bCs/>
                <w:iCs/>
                <w:color w:val="000000"/>
                <w:sz w:val="24"/>
                <w:lang w:val="en-GB"/>
              </w:rPr>
              <w:t>晓、郎彬、杨梦朝；富国基金：孙笑悦、曾新杰、吴栋栋、娄圣睿、吕泽楠；</w:t>
            </w:r>
          </w:p>
          <w:p w14:paraId="30571EF7" w14:textId="77777777" w:rsidR="00347AE9" w:rsidRDefault="006C184A">
            <w:pPr>
              <w:spacing w:line="360" w:lineRule="exact"/>
              <w:rPr>
                <w:rFonts w:ascii="宋体" w:hAnsi="宋体" w:cs="宋体"/>
                <w:bCs/>
                <w:iCs/>
                <w:color w:val="000000"/>
                <w:sz w:val="24"/>
                <w:lang w:val="en-GB"/>
              </w:rPr>
            </w:pPr>
            <w:r>
              <w:rPr>
                <w:rFonts w:ascii="宋体" w:hAnsi="宋体" w:cs="宋体" w:hint="eastAsia"/>
                <w:bCs/>
                <w:iCs/>
                <w:color w:val="000000"/>
                <w:sz w:val="24"/>
                <w:lang w:val="en-GB"/>
              </w:rPr>
              <w:t>国泰基金：邱晓旭；</w:t>
            </w:r>
          </w:p>
          <w:p w14:paraId="46EA10F0" w14:textId="11D03AFC" w:rsidR="00347AE9" w:rsidRDefault="006C184A">
            <w:pPr>
              <w:spacing w:line="360" w:lineRule="exact"/>
              <w:rPr>
                <w:rFonts w:ascii="宋体" w:hAnsi="宋体" w:cs="宋体"/>
                <w:bCs/>
                <w:iCs/>
                <w:color w:val="000000"/>
                <w:sz w:val="24"/>
                <w:lang w:val="en-GB"/>
              </w:rPr>
            </w:pPr>
            <w:r>
              <w:rPr>
                <w:rFonts w:ascii="宋体" w:hAnsi="宋体" w:cs="宋体" w:hint="eastAsia"/>
                <w:bCs/>
                <w:iCs/>
                <w:color w:val="000000"/>
                <w:sz w:val="24"/>
                <w:lang w:val="en-GB"/>
              </w:rPr>
              <w:t>华安基金：戴杰妮、杨磊；</w:t>
            </w:r>
          </w:p>
          <w:p w14:paraId="6D47E545" w14:textId="77777777" w:rsidR="00347AE9" w:rsidRDefault="006C184A">
            <w:pPr>
              <w:spacing w:line="360" w:lineRule="exact"/>
              <w:rPr>
                <w:rFonts w:ascii="宋体" w:hAnsi="宋体" w:cs="宋体"/>
                <w:bCs/>
                <w:iCs/>
                <w:color w:val="000000"/>
                <w:sz w:val="24"/>
                <w:lang w:val="en-GB"/>
              </w:rPr>
            </w:pPr>
            <w:proofErr w:type="gramStart"/>
            <w:r>
              <w:rPr>
                <w:rFonts w:ascii="宋体" w:hAnsi="宋体" w:cs="宋体" w:hint="eastAsia"/>
                <w:bCs/>
                <w:iCs/>
                <w:color w:val="000000"/>
                <w:sz w:val="24"/>
                <w:lang w:val="en-GB"/>
              </w:rPr>
              <w:t>宁银理财</w:t>
            </w:r>
            <w:proofErr w:type="gramEnd"/>
            <w:r>
              <w:rPr>
                <w:rFonts w:ascii="宋体" w:hAnsi="宋体" w:cs="宋体" w:hint="eastAsia"/>
                <w:bCs/>
                <w:iCs/>
                <w:color w:val="000000"/>
                <w:sz w:val="24"/>
                <w:lang w:val="en-GB"/>
              </w:rPr>
              <w:t>：姚</w:t>
            </w:r>
            <w:r>
              <w:rPr>
                <w:rFonts w:ascii="宋体" w:hAnsi="宋体" w:cs="宋体"/>
                <w:bCs/>
                <w:iCs/>
                <w:color w:val="000000"/>
                <w:sz w:val="24"/>
                <w:lang w:val="en-GB"/>
              </w:rPr>
              <w:t>爽、</w:t>
            </w:r>
            <w:r>
              <w:rPr>
                <w:rFonts w:ascii="宋体" w:hAnsi="宋体" w:cs="宋体" w:hint="eastAsia"/>
                <w:bCs/>
                <w:iCs/>
                <w:color w:val="000000"/>
                <w:sz w:val="24"/>
                <w:lang w:val="en-GB"/>
              </w:rPr>
              <w:t>徐厚</w:t>
            </w:r>
            <w:proofErr w:type="gramStart"/>
            <w:r>
              <w:rPr>
                <w:rFonts w:ascii="宋体" w:hAnsi="宋体" w:cs="宋体" w:hint="eastAsia"/>
                <w:bCs/>
                <w:iCs/>
                <w:color w:val="000000"/>
                <w:sz w:val="24"/>
                <w:lang w:val="en-GB"/>
              </w:rPr>
              <w:t>犇</w:t>
            </w:r>
            <w:proofErr w:type="gramEnd"/>
            <w:r>
              <w:rPr>
                <w:rFonts w:ascii="宋体" w:hAnsi="宋体" w:cs="宋体" w:hint="eastAsia"/>
                <w:bCs/>
                <w:iCs/>
                <w:color w:val="000000"/>
                <w:sz w:val="24"/>
                <w:lang w:val="en-GB"/>
              </w:rPr>
              <w:t>；</w:t>
            </w:r>
          </w:p>
          <w:p w14:paraId="006354A4" w14:textId="7C737EC1" w:rsidR="00347AE9" w:rsidRDefault="006C184A">
            <w:pPr>
              <w:spacing w:line="360" w:lineRule="exact"/>
              <w:rPr>
                <w:rFonts w:ascii="宋体" w:hAnsi="宋体" w:cs="宋体"/>
                <w:bCs/>
                <w:iCs/>
                <w:color w:val="000000"/>
                <w:sz w:val="24"/>
                <w:lang w:val="en-GB"/>
              </w:rPr>
            </w:pPr>
            <w:r>
              <w:rPr>
                <w:rFonts w:ascii="宋体" w:hAnsi="宋体" w:cs="宋体" w:hint="eastAsia"/>
                <w:bCs/>
                <w:iCs/>
                <w:color w:val="000000"/>
                <w:sz w:val="24"/>
                <w:lang w:val="en-GB"/>
              </w:rPr>
              <w:t>华源证券：林海</w:t>
            </w:r>
            <w:proofErr w:type="gramStart"/>
            <w:r>
              <w:rPr>
                <w:rFonts w:ascii="宋体" w:hAnsi="宋体" w:cs="宋体" w:hint="eastAsia"/>
                <w:bCs/>
                <w:iCs/>
                <w:color w:val="000000"/>
                <w:sz w:val="24"/>
                <w:lang w:val="en-GB"/>
              </w:rPr>
              <w:t>霖</w:t>
            </w:r>
            <w:proofErr w:type="gramEnd"/>
            <w:r>
              <w:rPr>
                <w:rFonts w:ascii="宋体" w:hAnsi="宋体" w:cs="宋体" w:hint="eastAsia"/>
                <w:bCs/>
                <w:iCs/>
                <w:color w:val="000000"/>
                <w:sz w:val="24"/>
                <w:lang w:val="en-GB"/>
              </w:rPr>
              <w:t>、吴琼；</w:t>
            </w:r>
          </w:p>
          <w:p w14:paraId="7A44E70A" w14:textId="75D2AE91" w:rsidR="00347AE9" w:rsidRDefault="006C184A">
            <w:pPr>
              <w:spacing w:line="360" w:lineRule="exact"/>
              <w:rPr>
                <w:rFonts w:ascii="宋体" w:hAnsi="宋体" w:cs="宋体"/>
                <w:bCs/>
                <w:iCs/>
                <w:color w:val="000000"/>
                <w:sz w:val="24"/>
                <w:lang w:val="en-GB"/>
              </w:rPr>
            </w:pPr>
            <w:r>
              <w:rPr>
                <w:rFonts w:ascii="宋体" w:hAnsi="宋体" w:cs="宋体" w:hint="eastAsia"/>
                <w:bCs/>
                <w:iCs/>
                <w:color w:val="000000"/>
                <w:sz w:val="24"/>
                <w:lang w:val="en-GB"/>
              </w:rPr>
              <w:t>信达证券：</w:t>
            </w:r>
            <w:proofErr w:type="gramStart"/>
            <w:r>
              <w:rPr>
                <w:rFonts w:ascii="宋体" w:hAnsi="宋体" w:cs="宋体" w:hint="eastAsia"/>
                <w:bCs/>
                <w:iCs/>
                <w:color w:val="000000"/>
                <w:sz w:val="24"/>
                <w:lang w:val="en-GB"/>
              </w:rPr>
              <w:t>曹佳琳</w:t>
            </w:r>
            <w:proofErr w:type="gramEnd"/>
            <w:r>
              <w:rPr>
                <w:rFonts w:ascii="宋体" w:hAnsi="宋体" w:cs="宋体" w:hint="eastAsia"/>
                <w:bCs/>
                <w:iCs/>
                <w:color w:val="000000"/>
                <w:sz w:val="24"/>
                <w:lang w:val="en-GB"/>
              </w:rPr>
              <w:t>；</w:t>
            </w:r>
          </w:p>
          <w:p w14:paraId="5FD9A911" w14:textId="1F29CC8E" w:rsidR="00347AE9" w:rsidRDefault="006C184A">
            <w:pPr>
              <w:spacing w:line="360" w:lineRule="exact"/>
              <w:rPr>
                <w:rFonts w:ascii="宋体" w:hAnsi="宋体" w:cs="宋体"/>
                <w:bCs/>
                <w:iCs/>
                <w:color w:val="000000"/>
                <w:sz w:val="24"/>
                <w:lang w:val="en-GB"/>
              </w:rPr>
            </w:pPr>
            <w:r>
              <w:rPr>
                <w:rFonts w:ascii="宋体" w:hAnsi="宋体" w:cs="宋体" w:hint="eastAsia"/>
                <w:bCs/>
                <w:iCs/>
                <w:color w:val="000000"/>
                <w:sz w:val="24"/>
                <w:lang w:val="en-GB"/>
              </w:rPr>
              <w:t>天风证券：周海涛；</w:t>
            </w:r>
          </w:p>
          <w:p w14:paraId="3CC1ECF9" w14:textId="69204FAC" w:rsidR="00347AE9" w:rsidRDefault="006C184A">
            <w:pPr>
              <w:spacing w:line="360" w:lineRule="exact"/>
              <w:rPr>
                <w:rFonts w:ascii="宋体" w:hAnsi="宋体" w:cs="宋体"/>
                <w:bCs/>
                <w:iCs/>
                <w:color w:val="000000"/>
                <w:sz w:val="24"/>
                <w:lang w:val="en-GB"/>
              </w:rPr>
            </w:pPr>
            <w:proofErr w:type="gramStart"/>
            <w:r>
              <w:rPr>
                <w:rFonts w:ascii="宋体" w:hAnsi="宋体" w:cs="宋体" w:hint="eastAsia"/>
                <w:bCs/>
                <w:iCs/>
                <w:color w:val="000000"/>
                <w:sz w:val="24"/>
                <w:lang w:val="en-GB"/>
              </w:rPr>
              <w:t>申万宏</w:t>
            </w:r>
            <w:proofErr w:type="gramEnd"/>
            <w:r>
              <w:rPr>
                <w:rFonts w:ascii="宋体" w:hAnsi="宋体" w:cs="宋体" w:hint="eastAsia"/>
                <w:bCs/>
                <w:iCs/>
                <w:color w:val="000000"/>
                <w:sz w:val="24"/>
                <w:lang w:val="en-GB"/>
              </w:rPr>
              <w:t>源：张静含、凌静怡；</w:t>
            </w:r>
          </w:p>
          <w:p w14:paraId="4EF1F33C" w14:textId="179D7A4A" w:rsidR="00347AE9" w:rsidRDefault="006C184A">
            <w:pPr>
              <w:spacing w:line="360" w:lineRule="exact"/>
              <w:rPr>
                <w:sz w:val="24"/>
                <w:szCs w:val="24"/>
              </w:rPr>
            </w:pPr>
            <w:r>
              <w:rPr>
                <w:rFonts w:ascii="宋体" w:hAnsi="宋体" w:cs="宋体" w:hint="eastAsia"/>
                <w:bCs/>
                <w:iCs/>
                <w:color w:val="000000"/>
                <w:sz w:val="24"/>
                <w:lang w:val="en-GB"/>
              </w:rPr>
              <w:t>方正证券：</w:t>
            </w:r>
            <w:proofErr w:type="gramStart"/>
            <w:r>
              <w:rPr>
                <w:rFonts w:ascii="宋体" w:hAnsi="宋体" w:cs="宋体" w:hint="eastAsia"/>
                <w:bCs/>
                <w:iCs/>
                <w:color w:val="000000"/>
                <w:sz w:val="24"/>
                <w:lang w:val="en-GB"/>
              </w:rPr>
              <w:t>周</w:t>
            </w:r>
            <w:r>
              <w:rPr>
                <w:rFonts w:ascii="宋体" w:hAnsi="宋体" w:cs="宋体"/>
                <w:bCs/>
                <w:iCs/>
                <w:color w:val="000000"/>
                <w:sz w:val="24"/>
                <w:lang w:val="en-GB"/>
              </w:rPr>
              <w:t>超泽</w:t>
            </w:r>
            <w:proofErr w:type="gramEnd"/>
          </w:p>
        </w:tc>
      </w:tr>
      <w:tr w:rsidR="00347AE9" w14:paraId="539A7D40" w14:textId="77777777">
        <w:trPr>
          <w:trHeight w:val="799"/>
          <w:jc w:val="center"/>
        </w:trPr>
        <w:tc>
          <w:tcPr>
            <w:tcW w:w="2263" w:type="dxa"/>
            <w:shd w:val="clear" w:color="auto" w:fill="auto"/>
            <w:vAlign w:val="center"/>
          </w:tcPr>
          <w:p w14:paraId="27570E03" w14:textId="77777777" w:rsidR="00347AE9" w:rsidRDefault="006C184A">
            <w:pPr>
              <w:rPr>
                <w:b/>
                <w:sz w:val="24"/>
                <w:szCs w:val="24"/>
              </w:rPr>
            </w:pPr>
            <w:r>
              <w:rPr>
                <w:rFonts w:hint="eastAsia"/>
                <w:b/>
                <w:sz w:val="24"/>
                <w:szCs w:val="24"/>
              </w:rPr>
              <w:t>时间</w:t>
            </w:r>
          </w:p>
        </w:tc>
        <w:tc>
          <w:tcPr>
            <w:tcW w:w="6033" w:type="dxa"/>
            <w:shd w:val="clear" w:color="auto" w:fill="auto"/>
            <w:vAlign w:val="center"/>
          </w:tcPr>
          <w:p w14:paraId="2A05A893" w14:textId="0F692594" w:rsidR="00347AE9" w:rsidRDefault="006C184A">
            <w:pPr>
              <w:rPr>
                <w:sz w:val="24"/>
                <w:szCs w:val="24"/>
              </w:rPr>
            </w:pPr>
            <w:r>
              <w:rPr>
                <w:rFonts w:ascii="宋体" w:hAnsi="宋体" w:cs="宋体" w:hint="eastAsia"/>
                <w:bCs/>
                <w:iCs/>
                <w:color w:val="000000"/>
                <w:sz w:val="24"/>
              </w:rPr>
              <w:t>2025年5月</w:t>
            </w:r>
            <w:r>
              <w:rPr>
                <w:rFonts w:ascii="宋体" w:hAnsi="宋体" w:cs="宋体"/>
                <w:bCs/>
                <w:iCs/>
                <w:color w:val="000000"/>
                <w:sz w:val="24"/>
              </w:rPr>
              <w:t>6</w:t>
            </w:r>
            <w:r>
              <w:rPr>
                <w:rFonts w:ascii="宋体" w:hAnsi="宋体" w:cs="宋体" w:hint="eastAsia"/>
                <w:bCs/>
                <w:iCs/>
                <w:color w:val="000000"/>
                <w:sz w:val="24"/>
              </w:rPr>
              <w:t>日-2025年5月29日</w:t>
            </w:r>
          </w:p>
        </w:tc>
      </w:tr>
      <w:tr w:rsidR="00347AE9" w14:paraId="35DF8A8E" w14:textId="77777777">
        <w:trPr>
          <w:trHeight w:val="838"/>
          <w:jc w:val="center"/>
        </w:trPr>
        <w:tc>
          <w:tcPr>
            <w:tcW w:w="2263" w:type="dxa"/>
            <w:shd w:val="clear" w:color="auto" w:fill="auto"/>
            <w:vAlign w:val="center"/>
          </w:tcPr>
          <w:p w14:paraId="49D3F1EC" w14:textId="77777777" w:rsidR="00347AE9" w:rsidRDefault="006C184A">
            <w:pPr>
              <w:rPr>
                <w:b/>
                <w:sz w:val="24"/>
                <w:szCs w:val="24"/>
              </w:rPr>
            </w:pPr>
            <w:r>
              <w:rPr>
                <w:rFonts w:hint="eastAsia"/>
                <w:b/>
                <w:sz w:val="24"/>
                <w:szCs w:val="24"/>
              </w:rPr>
              <w:t>地点</w:t>
            </w:r>
          </w:p>
        </w:tc>
        <w:tc>
          <w:tcPr>
            <w:tcW w:w="6033" w:type="dxa"/>
            <w:shd w:val="clear" w:color="auto" w:fill="auto"/>
            <w:vAlign w:val="center"/>
          </w:tcPr>
          <w:p w14:paraId="73F10E3A" w14:textId="77777777" w:rsidR="00347AE9" w:rsidRDefault="006C184A">
            <w:pPr>
              <w:rPr>
                <w:rFonts w:ascii="宋体" w:hAnsi="宋体"/>
                <w:bCs/>
                <w:sz w:val="24"/>
              </w:rPr>
            </w:pPr>
            <w:r>
              <w:rPr>
                <w:rFonts w:ascii="宋体" w:hAnsi="宋体" w:hint="eastAsia"/>
                <w:bCs/>
                <w:sz w:val="24"/>
              </w:rPr>
              <w:t>现场</w:t>
            </w:r>
            <w:r>
              <w:rPr>
                <w:rFonts w:ascii="宋体" w:hAnsi="宋体"/>
                <w:bCs/>
                <w:sz w:val="24"/>
              </w:rPr>
              <w:t>、线上</w:t>
            </w:r>
          </w:p>
        </w:tc>
      </w:tr>
      <w:tr w:rsidR="00347AE9" w14:paraId="7B9FCAB9" w14:textId="77777777">
        <w:trPr>
          <w:trHeight w:val="838"/>
          <w:jc w:val="center"/>
        </w:trPr>
        <w:tc>
          <w:tcPr>
            <w:tcW w:w="2263" w:type="dxa"/>
            <w:shd w:val="clear" w:color="auto" w:fill="auto"/>
            <w:vAlign w:val="center"/>
          </w:tcPr>
          <w:p w14:paraId="1683A7DD" w14:textId="77777777" w:rsidR="00347AE9" w:rsidRDefault="006C184A">
            <w:pPr>
              <w:rPr>
                <w:b/>
                <w:sz w:val="24"/>
                <w:szCs w:val="24"/>
              </w:rPr>
            </w:pPr>
            <w:r>
              <w:rPr>
                <w:rFonts w:hint="eastAsia"/>
                <w:b/>
                <w:sz w:val="24"/>
                <w:szCs w:val="24"/>
              </w:rPr>
              <w:t>参会人员</w:t>
            </w:r>
          </w:p>
        </w:tc>
        <w:tc>
          <w:tcPr>
            <w:tcW w:w="6033" w:type="dxa"/>
            <w:shd w:val="clear" w:color="auto" w:fill="auto"/>
            <w:vAlign w:val="center"/>
          </w:tcPr>
          <w:p w14:paraId="201DDEB1" w14:textId="77777777" w:rsidR="00347AE9" w:rsidRDefault="006C184A">
            <w:pPr>
              <w:spacing w:line="360" w:lineRule="auto"/>
              <w:rPr>
                <w:sz w:val="24"/>
                <w:szCs w:val="24"/>
              </w:rPr>
            </w:pPr>
            <w:r>
              <w:rPr>
                <w:rFonts w:ascii="宋体" w:hAnsi="宋体" w:cs="宋体" w:hint="eastAsia"/>
                <w:sz w:val="24"/>
                <w:szCs w:val="24"/>
              </w:rPr>
              <w:t>董事长：陈音龙；副总经理、董事会秘书：费其俊；证券</w:t>
            </w:r>
            <w:r>
              <w:rPr>
                <w:rFonts w:ascii="宋体" w:hAnsi="宋体" w:cs="宋体"/>
                <w:sz w:val="24"/>
                <w:szCs w:val="24"/>
              </w:rPr>
              <w:t>事务代表</w:t>
            </w:r>
            <w:r>
              <w:rPr>
                <w:rFonts w:ascii="宋体" w:hAnsi="宋体" w:cs="宋体" w:hint="eastAsia"/>
                <w:sz w:val="24"/>
                <w:szCs w:val="24"/>
              </w:rPr>
              <w:t>：黄</w:t>
            </w:r>
            <w:r>
              <w:rPr>
                <w:rFonts w:ascii="宋体" w:hAnsi="宋体" w:cs="宋体"/>
                <w:sz w:val="24"/>
                <w:szCs w:val="24"/>
              </w:rPr>
              <w:t>聿峰</w:t>
            </w:r>
          </w:p>
        </w:tc>
      </w:tr>
      <w:tr w:rsidR="00347AE9" w14:paraId="09858B3B" w14:textId="77777777">
        <w:trPr>
          <w:trHeight w:val="557"/>
          <w:jc w:val="center"/>
        </w:trPr>
        <w:tc>
          <w:tcPr>
            <w:tcW w:w="2263" w:type="dxa"/>
            <w:shd w:val="clear" w:color="auto" w:fill="auto"/>
            <w:vAlign w:val="center"/>
          </w:tcPr>
          <w:p w14:paraId="2853924D" w14:textId="77777777" w:rsidR="00347AE9" w:rsidRDefault="006C184A">
            <w:pPr>
              <w:spacing w:beforeLines="25" w:before="78" w:afterLines="25" w:after="78"/>
              <w:rPr>
                <w:b/>
                <w:sz w:val="24"/>
                <w:szCs w:val="24"/>
              </w:rPr>
            </w:pPr>
            <w:r>
              <w:rPr>
                <w:rFonts w:hint="eastAsia"/>
                <w:b/>
                <w:sz w:val="24"/>
                <w:szCs w:val="24"/>
              </w:rPr>
              <w:t>投资者关系活动主要内容介绍</w:t>
            </w:r>
          </w:p>
        </w:tc>
        <w:tc>
          <w:tcPr>
            <w:tcW w:w="6033" w:type="dxa"/>
            <w:shd w:val="clear" w:color="auto" w:fill="auto"/>
          </w:tcPr>
          <w:p w14:paraId="54F8E5D1" w14:textId="4FD35730" w:rsidR="00347AE9" w:rsidRDefault="006C184A">
            <w:pPr>
              <w:spacing w:line="360" w:lineRule="exact"/>
              <w:rPr>
                <w:b/>
                <w:szCs w:val="21"/>
              </w:rPr>
            </w:pPr>
            <w:r>
              <w:rPr>
                <w:rFonts w:ascii="宋体" w:hint="eastAsia"/>
                <w:b/>
                <w:szCs w:val="21"/>
              </w:rPr>
              <w:t>问</w:t>
            </w:r>
            <w:r>
              <w:rPr>
                <w:rFonts w:ascii="宋体"/>
                <w:b/>
                <w:szCs w:val="21"/>
              </w:rPr>
              <w:t>：</w:t>
            </w:r>
            <w:r>
              <w:rPr>
                <w:rFonts w:ascii="宋体" w:hint="eastAsia"/>
                <w:b/>
                <w:szCs w:val="21"/>
              </w:rPr>
              <w:t>2024年度及2025年第一季度情况如何？</w:t>
            </w:r>
          </w:p>
          <w:p w14:paraId="45E5FA61" w14:textId="77777777" w:rsidR="00347AE9" w:rsidRDefault="006C184A">
            <w:pPr>
              <w:spacing w:line="360" w:lineRule="exact"/>
              <w:rPr>
                <w:rFonts w:ascii="宋体"/>
                <w:szCs w:val="21"/>
              </w:rPr>
            </w:pPr>
            <w:r>
              <w:rPr>
                <w:rFonts w:ascii="宋体"/>
                <w:szCs w:val="21"/>
              </w:rPr>
              <w:t>答：</w:t>
            </w:r>
            <w:r>
              <w:rPr>
                <w:rFonts w:ascii="宋体" w:hint="eastAsia"/>
                <w:szCs w:val="21"/>
              </w:rPr>
              <w:t>2024年度公司实现了营收、利润双增长，其中：营业收入55,940.19万元，较上年同期增长26.53%；归属于上市公司股东的净利润16,951.55万元，较上年同期增长59.01%。2025年第一季度公司营业收入为8,788.67万元，较上年同期减少35.20%；归属于上市公司股东的净利润873.24万元，较上年同期减少</w:t>
            </w:r>
            <w:r>
              <w:rPr>
                <w:rFonts w:ascii="宋体" w:hint="eastAsia"/>
                <w:szCs w:val="21"/>
              </w:rPr>
              <w:lastRenderedPageBreak/>
              <w:t>77.97%。</w:t>
            </w:r>
          </w:p>
          <w:p w14:paraId="36C5F11E" w14:textId="0854F446" w:rsidR="00347AE9" w:rsidRDefault="006C184A">
            <w:pPr>
              <w:spacing w:beforeLines="50" w:before="156" w:line="360" w:lineRule="exact"/>
              <w:rPr>
                <w:b/>
                <w:szCs w:val="21"/>
              </w:rPr>
            </w:pPr>
            <w:r>
              <w:rPr>
                <w:rFonts w:ascii="宋体"/>
                <w:b/>
                <w:szCs w:val="21"/>
              </w:rPr>
              <w:t>问：</w:t>
            </w:r>
            <w:r>
              <w:rPr>
                <w:rFonts w:ascii="宋体" w:hint="eastAsia"/>
                <w:b/>
                <w:szCs w:val="21"/>
              </w:rPr>
              <w:t>202</w:t>
            </w:r>
            <w:r>
              <w:rPr>
                <w:rFonts w:ascii="宋体"/>
                <w:b/>
                <w:szCs w:val="21"/>
              </w:rPr>
              <w:t>4</w:t>
            </w:r>
            <w:r>
              <w:rPr>
                <w:rFonts w:ascii="宋体" w:hint="eastAsia"/>
                <w:b/>
                <w:szCs w:val="21"/>
              </w:rPr>
              <w:t>年利润大幅增长的主要原因是什么？</w:t>
            </w:r>
          </w:p>
          <w:p w14:paraId="64E1B2A7" w14:textId="3DB84544" w:rsidR="00347AE9" w:rsidRDefault="006C184A">
            <w:pPr>
              <w:spacing w:line="360" w:lineRule="exact"/>
              <w:rPr>
                <w:rFonts w:ascii="宋体"/>
                <w:b/>
                <w:szCs w:val="21"/>
              </w:rPr>
            </w:pPr>
            <w:r>
              <w:rPr>
                <w:rFonts w:ascii="宋体"/>
                <w:szCs w:val="21"/>
              </w:rPr>
              <w:t>答：</w:t>
            </w:r>
            <w:r>
              <w:rPr>
                <w:rFonts w:ascii="宋体" w:hint="eastAsia"/>
                <w:szCs w:val="21"/>
              </w:rPr>
              <w:t>1、在滥用药物检测系列方面，公司产品维持稳定市场渗透，配合新品的不断推出，细分行业地位进一步稳固，报告期内实现营收较快增长；2、在传染病检测系列方面，季节性公共卫生事件影响以及常规慢性病营收增长；3、上期与存货相关的资产减值金额较大，导致本期与上期相比利润增加；4、新冠疫情期间，境外客户预订检测试剂的合同于2024年度终止履行，无需返还的订单预收款及代收运输费转为收入，导致利润增加。</w:t>
            </w:r>
          </w:p>
          <w:p w14:paraId="4ACEB50A" w14:textId="77777777" w:rsidR="00347AE9" w:rsidRDefault="006C184A">
            <w:pPr>
              <w:spacing w:beforeLines="50" w:before="156" w:line="360" w:lineRule="exact"/>
              <w:rPr>
                <w:b/>
                <w:szCs w:val="21"/>
              </w:rPr>
            </w:pPr>
            <w:r>
              <w:rPr>
                <w:rFonts w:ascii="宋体"/>
                <w:b/>
                <w:szCs w:val="21"/>
              </w:rPr>
              <w:t>问：</w:t>
            </w:r>
            <w:r>
              <w:rPr>
                <w:rFonts w:ascii="宋体" w:hint="eastAsia"/>
                <w:b/>
                <w:szCs w:val="21"/>
              </w:rPr>
              <w:t>2025年第一季度业绩下滑的原因是什么？二季度经营情况怎么样？</w:t>
            </w:r>
          </w:p>
          <w:p w14:paraId="1E3A9570" w14:textId="4B8B3519" w:rsidR="00347AE9" w:rsidRDefault="006C184A">
            <w:pPr>
              <w:spacing w:line="360" w:lineRule="exact"/>
              <w:rPr>
                <w:rFonts w:ascii="宋体"/>
                <w:szCs w:val="21"/>
              </w:rPr>
            </w:pPr>
            <w:r>
              <w:rPr>
                <w:rFonts w:ascii="宋体"/>
                <w:szCs w:val="21"/>
              </w:rPr>
              <w:t>答：</w:t>
            </w:r>
            <w:r>
              <w:rPr>
                <w:rFonts w:ascii="宋体" w:hint="eastAsia"/>
                <w:szCs w:val="21"/>
              </w:rPr>
              <w:t>一季度业绩下滑的主要原因是2-3月份美国加征的所谓“芬太尼税”影响产品价格波动，</w:t>
            </w:r>
            <w:proofErr w:type="gramStart"/>
            <w:r>
              <w:rPr>
                <w:rFonts w:ascii="宋体" w:hint="eastAsia"/>
                <w:szCs w:val="21"/>
              </w:rPr>
              <w:t>出于风控考虑</w:t>
            </w:r>
            <w:proofErr w:type="gramEnd"/>
            <w:r>
              <w:rPr>
                <w:rFonts w:ascii="宋体" w:hint="eastAsia"/>
                <w:szCs w:val="21"/>
              </w:rPr>
              <w:t>，公司采取了谨慎的销售政策，进而使得毒品检测系列产品销量同比出现短暂下滑。同时，上年同期国内流感季较为明显，相应的传染病检测系列产品销量较多，而本季度该因素影响减弱。第</w:t>
            </w:r>
            <w:r>
              <w:rPr>
                <w:rFonts w:ascii="宋体"/>
                <w:szCs w:val="21"/>
              </w:rPr>
              <w:t>二季度</w:t>
            </w:r>
            <w:r>
              <w:rPr>
                <w:rFonts w:ascii="宋体" w:hint="eastAsia"/>
                <w:szCs w:val="21"/>
              </w:rPr>
              <w:t>由于美国</w:t>
            </w:r>
            <w:r>
              <w:rPr>
                <w:rFonts w:ascii="宋体"/>
                <w:szCs w:val="21"/>
              </w:rPr>
              <w:t>政府</w:t>
            </w:r>
            <w:r>
              <w:rPr>
                <w:rFonts w:ascii="宋体" w:hint="eastAsia"/>
                <w:szCs w:val="21"/>
              </w:rPr>
              <w:t>加征了所谓“对等关税”导致</w:t>
            </w:r>
            <w:r>
              <w:rPr>
                <w:rFonts w:ascii="宋体"/>
                <w:szCs w:val="21"/>
              </w:rPr>
              <w:t>公司</w:t>
            </w:r>
            <w:r>
              <w:rPr>
                <w:rFonts w:ascii="宋体" w:hint="eastAsia"/>
                <w:szCs w:val="21"/>
              </w:rPr>
              <w:t>自4月以来对美</w:t>
            </w:r>
            <w:r>
              <w:rPr>
                <w:rFonts w:ascii="宋体"/>
                <w:szCs w:val="21"/>
              </w:rPr>
              <w:t>出口产品</w:t>
            </w:r>
            <w:r>
              <w:rPr>
                <w:rFonts w:ascii="宋体" w:hint="eastAsia"/>
                <w:szCs w:val="21"/>
              </w:rPr>
              <w:t>处于暂停</w:t>
            </w:r>
            <w:r>
              <w:rPr>
                <w:rFonts w:ascii="宋体"/>
                <w:szCs w:val="21"/>
              </w:rPr>
              <w:t>发货状态。</w:t>
            </w:r>
            <w:r>
              <w:rPr>
                <w:rFonts w:ascii="宋体" w:hint="eastAsia"/>
                <w:szCs w:val="21"/>
              </w:rPr>
              <w:t>近期随着</w:t>
            </w:r>
            <w:r>
              <w:rPr>
                <w:rFonts w:ascii="宋体"/>
                <w:szCs w:val="21"/>
              </w:rPr>
              <w:t>美国</w:t>
            </w:r>
            <w:r>
              <w:rPr>
                <w:rFonts w:ascii="宋体" w:hint="eastAsia"/>
                <w:szCs w:val="21"/>
              </w:rPr>
              <w:t>暂缓</w:t>
            </w:r>
            <w:r>
              <w:rPr>
                <w:rFonts w:ascii="宋体"/>
                <w:szCs w:val="21"/>
              </w:rPr>
              <w:t>部分対华加征的关税，</w:t>
            </w:r>
            <w:r>
              <w:rPr>
                <w:rFonts w:ascii="宋体" w:hint="eastAsia"/>
                <w:szCs w:val="21"/>
              </w:rPr>
              <w:t>公司目前</w:t>
            </w:r>
            <w:r>
              <w:rPr>
                <w:rFonts w:ascii="宋体"/>
                <w:szCs w:val="21"/>
              </w:rPr>
              <w:t>已</w:t>
            </w:r>
            <w:r>
              <w:rPr>
                <w:rFonts w:ascii="宋体" w:hint="eastAsia"/>
                <w:szCs w:val="21"/>
              </w:rPr>
              <w:t>加快</w:t>
            </w:r>
            <w:r>
              <w:rPr>
                <w:rFonts w:ascii="宋体"/>
                <w:szCs w:val="21"/>
              </w:rPr>
              <w:t>向美国市场供应产品</w:t>
            </w:r>
            <w:r>
              <w:rPr>
                <w:rFonts w:ascii="宋体" w:hint="eastAsia"/>
                <w:szCs w:val="21"/>
              </w:rPr>
              <w:t>。同时考虑到中美关税的不确定性和反复性，公司已做好在美子公司进行生产的相关准备</w:t>
            </w:r>
            <w:r>
              <w:rPr>
                <w:rFonts w:ascii="宋体"/>
                <w:szCs w:val="21"/>
              </w:rPr>
              <w:t>，</w:t>
            </w:r>
            <w:r>
              <w:rPr>
                <w:rFonts w:ascii="宋体" w:hint="eastAsia"/>
                <w:szCs w:val="21"/>
              </w:rPr>
              <w:t>以备在畸高关税下，发挥其本土生产实现销售之需。此外，公司加快欧洲市场、俄罗斯市场以及东南亚等市场的开拓力度，力争实现新的增长。</w:t>
            </w:r>
          </w:p>
          <w:p w14:paraId="53C00CCF" w14:textId="7F94E66C" w:rsidR="00347AE9" w:rsidRDefault="006C184A">
            <w:pPr>
              <w:spacing w:beforeLines="50" w:before="156" w:line="360" w:lineRule="exact"/>
              <w:rPr>
                <w:rFonts w:ascii="宋体"/>
                <w:b/>
                <w:szCs w:val="21"/>
              </w:rPr>
            </w:pPr>
            <w:r>
              <w:rPr>
                <w:rFonts w:ascii="宋体"/>
                <w:b/>
                <w:szCs w:val="21"/>
              </w:rPr>
              <w:t>问：</w:t>
            </w:r>
            <w:r>
              <w:rPr>
                <w:rFonts w:ascii="宋体" w:hint="eastAsia"/>
                <w:b/>
                <w:szCs w:val="21"/>
              </w:rPr>
              <w:t>公司未来增长规划如何？</w:t>
            </w:r>
          </w:p>
          <w:p w14:paraId="7B8FED4D" w14:textId="77777777" w:rsidR="00347AE9" w:rsidRDefault="006C184A">
            <w:pPr>
              <w:spacing w:line="360" w:lineRule="exact"/>
              <w:rPr>
                <w:rFonts w:ascii="宋体"/>
                <w:szCs w:val="21"/>
              </w:rPr>
            </w:pPr>
            <w:r>
              <w:rPr>
                <w:rFonts w:ascii="宋体"/>
                <w:szCs w:val="21"/>
              </w:rPr>
              <w:t>答：</w:t>
            </w:r>
            <w:r>
              <w:rPr>
                <w:rFonts w:ascii="宋体" w:hint="eastAsia"/>
                <w:szCs w:val="21"/>
              </w:rPr>
              <w:t>在传统</w:t>
            </w:r>
            <w:r>
              <w:rPr>
                <w:rFonts w:ascii="宋体"/>
                <w:szCs w:val="21"/>
              </w:rPr>
              <w:t>五大系列检测</w:t>
            </w:r>
            <w:r>
              <w:rPr>
                <w:rFonts w:ascii="宋体" w:hint="eastAsia"/>
                <w:szCs w:val="21"/>
              </w:rPr>
              <w:t>产品</w:t>
            </w:r>
            <w:r>
              <w:rPr>
                <w:rFonts w:ascii="宋体"/>
                <w:szCs w:val="21"/>
              </w:rPr>
              <w:t>方面</w:t>
            </w:r>
            <w:r>
              <w:rPr>
                <w:rFonts w:ascii="宋体" w:hint="eastAsia"/>
                <w:szCs w:val="21"/>
              </w:rPr>
              <w:t>，</w:t>
            </w:r>
            <w:r>
              <w:rPr>
                <w:rFonts w:ascii="宋体"/>
                <w:szCs w:val="21"/>
              </w:rPr>
              <w:t>公司</w:t>
            </w:r>
            <w:r>
              <w:rPr>
                <w:rFonts w:ascii="宋体" w:hint="eastAsia"/>
                <w:szCs w:val="21"/>
              </w:rPr>
              <w:t>推出</w:t>
            </w:r>
            <w:r>
              <w:rPr>
                <w:rFonts w:ascii="宋体"/>
                <w:szCs w:val="21"/>
              </w:rPr>
              <w:t>的</w:t>
            </w:r>
            <w:r>
              <w:rPr>
                <w:rFonts w:ascii="宋体" w:hint="eastAsia"/>
                <w:szCs w:val="21"/>
              </w:rPr>
              <w:t>差异化</w:t>
            </w:r>
            <w:r>
              <w:rPr>
                <w:rFonts w:ascii="宋体"/>
                <w:szCs w:val="21"/>
              </w:rPr>
              <w:t>产品</w:t>
            </w:r>
            <w:r>
              <w:rPr>
                <w:rFonts w:ascii="宋体" w:hint="eastAsia"/>
                <w:szCs w:val="21"/>
              </w:rPr>
              <w:t>竞争力</w:t>
            </w:r>
            <w:r>
              <w:rPr>
                <w:rFonts w:ascii="宋体"/>
                <w:szCs w:val="21"/>
              </w:rPr>
              <w:t>正在显现，如</w:t>
            </w:r>
            <w:r>
              <w:rPr>
                <w:rFonts w:ascii="宋体" w:hint="eastAsia"/>
                <w:szCs w:val="21"/>
              </w:rPr>
              <w:t>在药物滥用（毒品）检测领域，公司推出了一系列新精神活性类物质检测与创新的饮料中毒品检测产品，同时创新采用</w:t>
            </w:r>
            <w:r>
              <w:rPr>
                <w:rFonts w:ascii="宋体"/>
                <w:szCs w:val="21"/>
              </w:rPr>
              <w:t>了如</w:t>
            </w:r>
            <w:r>
              <w:rPr>
                <w:rFonts w:ascii="宋体" w:hint="eastAsia"/>
                <w:szCs w:val="21"/>
              </w:rPr>
              <w:t>微量</w:t>
            </w:r>
            <w:r>
              <w:rPr>
                <w:rFonts w:ascii="宋体"/>
                <w:szCs w:val="21"/>
              </w:rPr>
              <w:t>唾液、粉末检测等新的</w:t>
            </w:r>
            <w:r>
              <w:rPr>
                <w:rFonts w:ascii="宋体" w:hint="eastAsia"/>
                <w:szCs w:val="21"/>
              </w:rPr>
              <w:t>样本</w:t>
            </w:r>
            <w:r>
              <w:rPr>
                <w:rFonts w:ascii="宋体"/>
                <w:szCs w:val="21"/>
              </w:rPr>
              <w:t>检测</w:t>
            </w:r>
            <w:r>
              <w:rPr>
                <w:rFonts w:ascii="宋体" w:hint="eastAsia"/>
                <w:szCs w:val="21"/>
              </w:rPr>
              <w:t>方式</w:t>
            </w:r>
            <w:r>
              <w:rPr>
                <w:rFonts w:ascii="宋体"/>
                <w:szCs w:val="21"/>
              </w:rPr>
              <w:t>，</w:t>
            </w:r>
            <w:r>
              <w:rPr>
                <w:rFonts w:ascii="宋体" w:hint="eastAsia"/>
                <w:szCs w:val="21"/>
              </w:rPr>
              <w:t>进一步丰富了产品组合。这些新产品不仅满足了市场对快速、准确检测的需求，还开拓了市场增量。特别是在美国，随着药物滥用问题的加剧，公司推出的饮料检测产品迅速获得了市场的认可，提升了公司在毒品检测领域的市场份额。在传染病检测领域，公司成功开发涵盖寄生虫联合检测、高尔基蛋白73（</w:t>
            </w:r>
            <w:proofErr w:type="spellStart"/>
            <w:r>
              <w:rPr>
                <w:rFonts w:ascii="宋体" w:hint="eastAsia"/>
                <w:szCs w:val="21"/>
              </w:rPr>
              <w:t>GP73</w:t>
            </w:r>
            <w:proofErr w:type="spellEnd"/>
            <w:r>
              <w:rPr>
                <w:rFonts w:ascii="宋体" w:hint="eastAsia"/>
                <w:szCs w:val="21"/>
              </w:rPr>
              <w:t>）的试剂，并创新推出单孔加样呼吸道多联检产品。在生殖健康与肿瘤检测领域，通过推出精子活力</w:t>
            </w:r>
            <w:proofErr w:type="spellStart"/>
            <w:r>
              <w:rPr>
                <w:rFonts w:ascii="宋体" w:hint="eastAsia"/>
                <w:szCs w:val="21"/>
              </w:rPr>
              <w:t>SP10</w:t>
            </w:r>
            <w:proofErr w:type="spellEnd"/>
            <w:r>
              <w:rPr>
                <w:rFonts w:ascii="宋体" w:hint="eastAsia"/>
                <w:szCs w:val="21"/>
              </w:rPr>
              <w:t>检测试剂及前白蛋白检测试剂，进一步丰富</w:t>
            </w:r>
            <w:r>
              <w:rPr>
                <w:rFonts w:ascii="宋体"/>
                <w:szCs w:val="21"/>
              </w:rPr>
              <w:t>该</w:t>
            </w:r>
            <w:r>
              <w:rPr>
                <w:rFonts w:ascii="宋体" w:hint="eastAsia"/>
                <w:szCs w:val="21"/>
              </w:rPr>
              <w:t>系列</w:t>
            </w:r>
            <w:r>
              <w:rPr>
                <w:rFonts w:ascii="宋体"/>
                <w:szCs w:val="21"/>
              </w:rPr>
              <w:t>产品</w:t>
            </w:r>
            <w:r>
              <w:rPr>
                <w:rFonts w:ascii="宋体" w:hint="eastAsia"/>
                <w:szCs w:val="21"/>
              </w:rPr>
              <w:t>类目。针对慢性病管理需求，公司重点扩展糖化血红蛋白、尿微量白蛋白等检测试剂的临床应用场景，有效</w:t>
            </w:r>
            <w:r>
              <w:rPr>
                <w:rFonts w:ascii="宋体" w:hint="eastAsia"/>
                <w:szCs w:val="21"/>
              </w:rPr>
              <w:lastRenderedPageBreak/>
              <w:t>覆盖疾病全周期管理需求。在检测设备领域，公司研发的免疫层析分析仪已形成移动便携与高精度检测并重的产品体系，多款新型号仪器凭借优异的检测性能获得市场认可。此外</w:t>
            </w:r>
            <w:r>
              <w:rPr>
                <w:rFonts w:ascii="宋体"/>
                <w:szCs w:val="21"/>
              </w:rPr>
              <w:t>，公司</w:t>
            </w:r>
            <w:r>
              <w:rPr>
                <w:rFonts w:ascii="宋体" w:hint="eastAsia"/>
                <w:szCs w:val="21"/>
              </w:rPr>
              <w:t>正在</w:t>
            </w:r>
            <w:r>
              <w:rPr>
                <w:rFonts w:ascii="宋体"/>
                <w:szCs w:val="21"/>
              </w:rPr>
              <w:t>持续</w:t>
            </w:r>
            <w:r>
              <w:rPr>
                <w:rFonts w:ascii="宋体" w:hint="eastAsia"/>
                <w:szCs w:val="21"/>
              </w:rPr>
              <w:t>投入</w:t>
            </w:r>
            <w:r>
              <w:rPr>
                <w:rFonts w:ascii="宋体"/>
                <w:szCs w:val="21"/>
              </w:rPr>
              <w:t>开发新一代</w:t>
            </w:r>
            <w:proofErr w:type="spellStart"/>
            <w:r>
              <w:rPr>
                <w:rFonts w:ascii="宋体"/>
                <w:szCs w:val="21"/>
              </w:rPr>
              <w:t>POCT</w:t>
            </w:r>
            <w:proofErr w:type="spellEnd"/>
            <w:r>
              <w:rPr>
                <w:rFonts w:ascii="宋体" w:hint="eastAsia"/>
                <w:szCs w:val="21"/>
              </w:rPr>
              <w:t>诊断</w:t>
            </w:r>
            <w:r>
              <w:rPr>
                <w:rFonts w:ascii="宋体"/>
                <w:szCs w:val="21"/>
              </w:rPr>
              <w:t>产品</w:t>
            </w:r>
            <w:r>
              <w:rPr>
                <w:rFonts w:ascii="宋体" w:hint="eastAsia"/>
                <w:szCs w:val="21"/>
              </w:rPr>
              <w:t>-</w:t>
            </w:r>
            <w:proofErr w:type="gramStart"/>
            <w:r>
              <w:rPr>
                <w:rFonts w:ascii="宋体" w:hint="eastAsia"/>
                <w:szCs w:val="21"/>
              </w:rPr>
              <w:t>微流控</w:t>
            </w:r>
            <w:proofErr w:type="gramEnd"/>
            <w:r>
              <w:rPr>
                <w:rFonts w:ascii="宋体"/>
                <w:szCs w:val="21"/>
              </w:rPr>
              <w:t>荧光免疫检测产品</w:t>
            </w:r>
            <w:r>
              <w:rPr>
                <w:rFonts w:ascii="宋体" w:hint="eastAsia"/>
                <w:szCs w:val="21"/>
              </w:rPr>
              <w:t>，通过</w:t>
            </w:r>
            <w:r>
              <w:rPr>
                <w:rFonts w:ascii="宋体"/>
                <w:szCs w:val="21"/>
              </w:rPr>
              <w:t>微流控技术</w:t>
            </w:r>
            <w:r>
              <w:rPr>
                <w:rFonts w:ascii="宋体" w:hint="eastAsia"/>
                <w:szCs w:val="21"/>
              </w:rPr>
              <w:t>进一步</w:t>
            </w:r>
            <w:r>
              <w:rPr>
                <w:rFonts w:ascii="宋体"/>
                <w:szCs w:val="21"/>
              </w:rPr>
              <w:t>增强公司产品</w:t>
            </w:r>
            <w:r>
              <w:rPr>
                <w:rFonts w:ascii="宋体" w:hint="eastAsia"/>
                <w:szCs w:val="21"/>
              </w:rPr>
              <w:t>系列</w:t>
            </w:r>
            <w:r>
              <w:rPr>
                <w:rFonts w:ascii="宋体"/>
                <w:szCs w:val="21"/>
              </w:rPr>
              <w:t>综合竞争力，开拓</w:t>
            </w:r>
            <w:proofErr w:type="spellStart"/>
            <w:r>
              <w:rPr>
                <w:rFonts w:ascii="宋体"/>
                <w:szCs w:val="21"/>
              </w:rPr>
              <w:t>POCT</w:t>
            </w:r>
            <w:proofErr w:type="spellEnd"/>
            <w:r>
              <w:rPr>
                <w:rFonts w:ascii="宋体" w:hint="eastAsia"/>
                <w:szCs w:val="21"/>
              </w:rPr>
              <w:t>检测</w:t>
            </w:r>
            <w:r>
              <w:rPr>
                <w:rFonts w:ascii="宋体"/>
                <w:szCs w:val="21"/>
              </w:rPr>
              <w:t>新市场。</w:t>
            </w:r>
          </w:p>
          <w:p w14:paraId="3D179D5E" w14:textId="5CCB4708" w:rsidR="00347AE9" w:rsidRDefault="006C184A">
            <w:pPr>
              <w:spacing w:beforeLines="50" w:before="156" w:line="360" w:lineRule="exact"/>
              <w:rPr>
                <w:rFonts w:ascii="宋体"/>
                <w:b/>
                <w:szCs w:val="21"/>
              </w:rPr>
            </w:pPr>
            <w:r>
              <w:rPr>
                <w:rFonts w:ascii="宋体"/>
                <w:b/>
                <w:szCs w:val="21"/>
              </w:rPr>
              <w:t>问：</w:t>
            </w:r>
            <w:r>
              <w:rPr>
                <w:rFonts w:ascii="宋体" w:hint="eastAsia"/>
                <w:b/>
                <w:szCs w:val="21"/>
              </w:rPr>
              <w:t>公司</w:t>
            </w:r>
            <w:r>
              <w:rPr>
                <w:rFonts w:ascii="宋体"/>
                <w:b/>
                <w:szCs w:val="21"/>
              </w:rPr>
              <w:t>新推出的</w:t>
            </w:r>
            <w:proofErr w:type="gramStart"/>
            <w:r>
              <w:rPr>
                <w:rFonts w:ascii="宋体" w:hint="eastAsia"/>
                <w:b/>
                <w:szCs w:val="21"/>
              </w:rPr>
              <w:t>微流控</w:t>
            </w:r>
            <w:proofErr w:type="gramEnd"/>
            <w:r>
              <w:rPr>
                <w:rFonts w:ascii="宋体" w:hint="eastAsia"/>
                <w:b/>
                <w:szCs w:val="21"/>
              </w:rPr>
              <w:t>荧光</w:t>
            </w:r>
            <w:r>
              <w:rPr>
                <w:rFonts w:ascii="宋体"/>
                <w:b/>
                <w:szCs w:val="21"/>
              </w:rPr>
              <w:t>免疫</w:t>
            </w:r>
            <w:r>
              <w:rPr>
                <w:rFonts w:ascii="宋体" w:hint="eastAsia"/>
                <w:b/>
                <w:szCs w:val="21"/>
              </w:rPr>
              <w:t>系列产品的进展、市场及优势如何？</w:t>
            </w:r>
          </w:p>
          <w:p w14:paraId="103F4D80" w14:textId="403247DC" w:rsidR="00347AE9" w:rsidRDefault="006C184A">
            <w:pPr>
              <w:spacing w:line="360" w:lineRule="exact"/>
              <w:rPr>
                <w:rFonts w:ascii="宋体"/>
                <w:szCs w:val="21"/>
              </w:rPr>
            </w:pPr>
            <w:r>
              <w:rPr>
                <w:rFonts w:ascii="宋体"/>
                <w:szCs w:val="21"/>
              </w:rPr>
              <w:t>答：</w:t>
            </w:r>
            <w:r>
              <w:rPr>
                <w:rFonts w:ascii="宋体" w:hint="eastAsia"/>
                <w:szCs w:val="21"/>
              </w:rPr>
              <w:t>公司重点推进</w:t>
            </w:r>
            <w:proofErr w:type="spellStart"/>
            <w:r>
              <w:rPr>
                <w:rFonts w:ascii="宋体" w:hint="eastAsia"/>
                <w:szCs w:val="21"/>
              </w:rPr>
              <w:t>FluidicNowTM</w:t>
            </w:r>
            <w:proofErr w:type="spellEnd"/>
            <w:proofErr w:type="gramStart"/>
            <w:r>
              <w:rPr>
                <w:rFonts w:ascii="宋体" w:hint="eastAsia"/>
                <w:szCs w:val="21"/>
              </w:rPr>
              <w:t>微流控</w:t>
            </w:r>
            <w:proofErr w:type="gramEnd"/>
            <w:r>
              <w:rPr>
                <w:rFonts w:ascii="宋体" w:hint="eastAsia"/>
                <w:szCs w:val="21"/>
              </w:rPr>
              <w:t>免疫荧光分析系统的研发，该系统包括</w:t>
            </w:r>
            <w:proofErr w:type="gramStart"/>
            <w:r>
              <w:rPr>
                <w:rFonts w:ascii="宋体" w:hint="eastAsia"/>
                <w:szCs w:val="21"/>
              </w:rPr>
              <w:t>微流控</w:t>
            </w:r>
            <w:proofErr w:type="gramEnd"/>
            <w:r>
              <w:rPr>
                <w:rFonts w:ascii="宋体" w:hint="eastAsia"/>
                <w:szCs w:val="21"/>
              </w:rPr>
              <w:t>免疫分析仪和</w:t>
            </w:r>
            <w:proofErr w:type="gramStart"/>
            <w:r>
              <w:rPr>
                <w:rFonts w:ascii="宋体" w:hint="eastAsia"/>
                <w:szCs w:val="21"/>
              </w:rPr>
              <w:t>微流控</w:t>
            </w:r>
            <w:proofErr w:type="gramEnd"/>
            <w:r>
              <w:rPr>
                <w:rFonts w:ascii="宋体" w:hint="eastAsia"/>
                <w:szCs w:val="21"/>
              </w:rPr>
              <w:t>生物芯片,通过</w:t>
            </w:r>
            <w:proofErr w:type="gramStart"/>
            <w:r>
              <w:rPr>
                <w:rFonts w:ascii="宋体" w:hint="eastAsia"/>
                <w:szCs w:val="21"/>
              </w:rPr>
              <w:t>微流控及</w:t>
            </w:r>
            <w:proofErr w:type="gramEnd"/>
            <w:r>
              <w:rPr>
                <w:rFonts w:ascii="宋体" w:hint="eastAsia"/>
                <w:szCs w:val="21"/>
              </w:rPr>
              <w:t>免疫荧光定量分析技术的融合实现高灵敏度检测技术在非实验室环境下的应用。公司</w:t>
            </w:r>
            <w:proofErr w:type="gramStart"/>
            <w:r>
              <w:rPr>
                <w:rFonts w:ascii="宋体"/>
                <w:szCs w:val="21"/>
              </w:rPr>
              <w:t>微流控</w:t>
            </w:r>
            <w:proofErr w:type="gramEnd"/>
            <w:r>
              <w:rPr>
                <w:rFonts w:ascii="宋体"/>
                <w:szCs w:val="21"/>
              </w:rPr>
              <w:t>荧光免疫系列产品致力于</w:t>
            </w:r>
            <w:r>
              <w:rPr>
                <w:rFonts w:ascii="宋体" w:hint="eastAsia"/>
                <w:szCs w:val="21"/>
              </w:rPr>
              <w:t>让精准与便捷不再矛盾，该类产品具有精准度高（定量</w:t>
            </w:r>
            <w:r>
              <w:rPr>
                <w:rFonts w:ascii="宋体"/>
                <w:szCs w:val="21"/>
              </w:rPr>
              <w:t>检测</w:t>
            </w:r>
            <w:r>
              <w:rPr>
                <w:rFonts w:ascii="宋体" w:hint="eastAsia"/>
                <w:szCs w:val="21"/>
              </w:rPr>
              <w:t>）、检测速度快（3-5分钟</w:t>
            </w:r>
            <w:r>
              <w:rPr>
                <w:rFonts w:ascii="宋体"/>
                <w:szCs w:val="21"/>
              </w:rPr>
              <w:t>即可</w:t>
            </w:r>
            <w:r>
              <w:rPr>
                <w:rFonts w:ascii="宋体" w:hint="eastAsia"/>
                <w:szCs w:val="21"/>
              </w:rPr>
              <w:t>出</w:t>
            </w:r>
            <w:r>
              <w:rPr>
                <w:rFonts w:ascii="宋体"/>
                <w:szCs w:val="21"/>
              </w:rPr>
              <w:t>结果</w:t>
            </w:r>
            <w:r>
              <w:rPr>
                <w:rFonts w:ascii="宋体" w:hint="eastAsia"/>
                <w:szCs w:val="21"/>
              </w:rPr>
              <w:t>）、仪器操作简单便携、试剂运输保存方便、性价比高等特点，能够满足</w:t>
            </w:r>
            <w:r>
              <w:rPr>
                <w:rFonts w:ascii="宋体"/>
                <w:szCs w:val="21"/>
              </w:rPr>
              <w:t>国外多数非检验科实验室适用场景</w:t>
            </w:r>
            <w:r>
              <w:rPr>
                <w:rFonts w:ascii="宋体" w:hint="eastAsia"/>
                <w:szCs w:val="21"/>
              </w:rPr>
              <w:t>需求</w:t>
            </w:r>
            <w:r>
              <w:rPr>
                <w:rFonts w:ascii="宋体"/>
                <w:szCs w:val="21"/>
              </w:rPr>
              <w:t>，</w:t>
            </w:r>
            <w:r>
              <w:rPr>
                <w:rFonts w:ascii="宋体" w:hint="eastAsia"/>
                <w:szCs w:val="21"/>
              </w:rPr>
              <w:t>尤其适用于化学发光仪器难以覆盖的市场。目前</w:t>
            </w:r>
            <w:r>
              <w:rPr>
                <w:rFonts w:ascii="宋体"/>
                <w:szCs w:val="21"/>
              </w:rPr>
              <w:t>公司</w:t>
            </w:r>
            <w:r>
              <w:rPr>
                <w:rFonts w:ascii="宋体" w:hint="eastAsia"/>
                <w:szCs w:val="21"/>
              </w:rPr>
              <w:t>首先</w:t>
            </w:r>
            <w:r>
              <w:rPr>
                <w:rFonts w:ascii="宋体"/>
                <w:szCs w:val="21"/>
              </w:rPr>
              <w:t>将</w:t>
            </w:r>
            <w:r>
              <w:rPr>
                <w:rFonts w:ascii="宋体" w:hint="eastAsia"/>
                <w:szCs w:val="21"/>
              </w:rPr>
              <w:t>切入心肌标记物检测</w:t>
            </w:r>
            <w:r>
              <w:rPr>
                <w:rFonts w:ascii="宋体"/>
                <w:szCs w:val="21"/>
              </w:rPr>
              <w:t>项目并已</w:t>
            </w:r>
            <w:r>
              <w:rPr>
                <w:rFonts w:ascii="宋体" w:hint="eastAsia"/>
                <w:szCs w:val="21"/>
              </w:rPr>
              <w:t>取得部分CE</w:t>
            </w:r>
            <w:r w:rsidR="008D1077">
              <w:rPr>
                <w:rFonts w:ascii="宋体" w:hint="eastAsia"/>
                <w:szCs w:val="21"/>
              </w:rPr>
              <w:t>注册</w:t>
            </w:r>
            <w:r w:rsidR="008D1077">
              <w:rPr>
                <w:rFonts w:ascii="宋体"/>
                <w:szCs w:val="21"/>
              </w:rPr>
              <w:t>备案</w:t>
            </w:r>
            <w:bookmarkStart w:id="0" w:name="_GoBack"/>
            <w:bookmarkEnd w:id="0"/>
            <w:r>
              <w:rPr>
                <w:rFonts w:ascii="宋体" w:hint="eastAsia"/>
                <w:szCs w:val="21"/>
              </w:rPr>
              <w:t>，目前正在加快推进欧盟、东南亚以及中国市场的产品注册，后续还将陆续拓展肿瘤、感染/炎症、激素、</w:t>
            </w:r>
            <w:r>
              <w:rPr>
                <w:rFonts w:ascii="宋体"/>
                <w:szCs w:val="21"/>
              </w:rPr>
              <w:t>甲状腺功能</w:t>
            </w:r>
            <w:r>
              <w:rPr>
                <w:rFonts w:ascii="宋体" w:hint="eastAsia"/>
                <w:szCs w:val="21"/>
              </w:rPr>
              <w:t>、</w:t>
            </w:r>
            <w:r>
              <w:rPr>
                <w:rFonts w:ascii="宋体"/>
                <w:szCs w:val="21"/>
              </w:rPr>
              <w:t>糖尿病</w:t>
            </w:r>
            <w:r>
              <w:rPr>
                <w:rFonts w:ascii="宋体" w:hint="eastAsia"/>
                <w:szCs w:val="21"/>
              </w:rPr>
              <w:t>/肾病</w:t>
            </w:r>
            <w:r>
              <w:rPr>
                <w:rFonts w:ascii="宋体"/>
                <w:szCs w:val="21"/>
              </w:rPr>
              <w:t>、</w:t>
            </w:r>
            <w:r>
              <w:rPr>
                <w:rFonts w:ascii="宋体" w:hint="eastAsia"/>
                <w:szCs w:val="21"/>
              </w:rPr>
              <w:t>免疫性</w:t>
            </w:r>
            <w:r>
              <w:rPr>
                <w:rFonts w:ascii="宋体"/>
                <w:szCs w:val="21"/>
              </w:rPr>
              <w:t>疾病</w:t>
            </w:r>
            <w:r>
              <w:rPr>
                <w:rFonts w:ascii="宋体" w:hint="eastAsia"/>
                <w:szCs w:val="21"/>
              </w:rPr>
              <w:t>等方向的</w:t>
            </w:r>
            <w:r>
              <w:rPr>
                <w:rFonts w:ascii="宋体"/>
                <w:szCs w:val="21"/>
              </w:rPr>
              <w:t>产品</w:t>
            </w:r>
            <w:r>
              <w:rPr>
                <w:rFonts w:ascii="宋体" w:hint="eastAsia"/>
                <w:szCs w:val="21"/>
              </w:rPr>
              <w:t>矩阵。该系列产品的推出，在细分市场具有明显的差异化竞争优势，预计是公司未来新的业务增长点。</w:t>
            </w:r>
          </w:p>
          <w:p w14:paraId="01E5FAD3" w14:textId="77777777" w:rsidR="00347AE9" w:rsidRDefault="006C184A">
            <w:pPr>
              <w:spacing w:beforeLines="50" w:before="156" w:line="360" w:lineRule="exact"/>
              <w:rPr>
                <w:rFonts w:ascii="宋体"/>
                <w:b/>
                <w:szCs w:val="21"/>
              </w:rPr>
            </w:pPr>
            <w:r>
              <w:rPr>
                <w:rFonts w:ascii="宋体"/>
                <w:b/>
                <w:szCs w:val="21"/>
              </w:rPr>
              <w:t>问：</w:t>
            </w:r>
            <w:r>
              <w:rPr>
                <w:rFonts w:ascii="宋体" w:hint="eastAsia"/>
                <w:b/>
                <w:szCs w:val="21"/>
              </w:rPr>
              <w:t>公司账上有较为充沛的资金，使用规划是怎么样的？</w:t>
            </w:r>
          </w:p>
          <w:p w14:paraId="5B7E6FE9" w14:textId="510D98DF" w:rsidR="00347AE9" w:rsidRDefault="006C184A">
            <w:pPr>
              <w:spacing w:line="360" w:lineRule="exact"/>
              <w:rPr>
                <w:rFonts w:ascii="宋体"/>
                <w:szCs w:val="21"/>
              </w:rPr>
            </w:pPr>
            <w:r>
              <w:rPr>
                <w:rFonts w:ascii="宋体"/>
                <w:szCs w:val="21"/>
              </w:rPr>
              <w:t>答：</w:t>
            </w:r>
            <w:r>
              <w:rPr>
                <w:rFonts w:ascii="宋体" w:hint="eastAsia"/>
                <w:szCs w:val="21"/>
              </w:rPr>
              <w:t>公司将聚焦主业，深耕</w:t>
            </w:r>
            <w:proofErr w:type="spellStart"/>
            <w:r>
              <w:rPr>
                <w:rFonts w:ascii="宋体" w:hint="eastAsia"/>
                <w:szCs w:val="21"/>
              </w:rPr>
              <w:t>POCT</w:t>
            </w:r>
            <w:proofErr w:type="spellEnd"/>
            <w:r>
              <w:rPr>
                <w:rFonts w:ascii="宋体" w:hint="eastAsia"/>
                <w:szCs w:val="21"/>
              </w:rPr>
              <w:t>诊断检测领域，踏踏实实投入研发不断推出新的产品；在创造利润的前提下，每年保持较为稳定的现金分红；公司将围绕产业方向进行战略布局，开辟第二增长赛道。通过并购重组等方式，进一步巩固和提升公司竞争力，实现公司长期可持续发展。此外，公司将参与</w:t>
            </w:r>
            <w:proofErr w:type="gramStart"/>
            <w:r>
              <w:rPr>
                <w:rFonts w:ascii="宋体" w:hint="eastAsia"/>
                <w:szCs w:val="21"/>
              </w:rPr>
              <w:t>医疗大</w:t>
            </w:r>
            <w:proofErr w:type="gramEnd"/>
            <w:r>
              <w:rPr>
                <w:rFonts w:ascii="宋体" w:hint="eastAsia"/>
                <w:szCs w:val="21"/>
              </w:rPr>
              <w:t>健康</w:t>
            </w:r>
            <w:r>
              <w:rPr>
                <w:rFonts w:ascii="宋体"/>
                <w:szCs w:val="21"/>
              </w:rPr>
              <w:t>前沿技术</w:t>
            </w:r>
            <w:r>
              <w:rPr>
                <w:rFonts w:ascii="宋体" w:hint="eastAsia"/>
                <w:szCs w:val="21"/>
              </w:rPr>
              <w:t>领域的投资，目前已设立产业投资平台（全资子公司）杭州博</w:t>
            </w:r>
            <w:proofErr w:type="gramStart"/>
            <w:r>
              <w:rPr>
                <w:rFonts w:ascii="宋体" w:hint="eastAsia"/>
                <w:szCs w:val="21"/>
              </w:rPr>
              <w:t>肽智投</w:t>
            </w:r>
            <w:proofErr w:type="gramEnd"/>
            <w:r>
              <w:rPr>
                <w:rFonts w:ascii="宋体" w:hint="eastAsia"/>
                <w:szCs w:val="21"/>
              </w:rPr>
              <w:t>企业管理有限公司，在近期已通过其参股了杭州青石永</w:t>
            </w:r>
            <w:proofErr w:type="gramStart"/>
            <w:r>
              <w:rPr>
                <w:rFonts w:ascii="宋体" w:hint="eastAsia"/>
                <w:szCs w:val="21"/>
              </w:rPr>
              <w:t>隽</w:t>
            </w:r>
            <w:proofErr w:type="gramEnd"/>
            <w:r>
              <w:rPr>
                <w:rFonts w:ascii="宋体" w:hint="eastAsia"/>
                <w:szCs w:val="21"/>
              </w:rPr>
              <w:t>医疗设备有限公司，该公司是由浙江大学侵入</w:t>
            </w:r>
            <w:proofErr w:type="gramStart"/>
            <w:r>
              <w:rPr>
                <w:rFonts w:ascii="宋体" w:hint="eastAsia"/>
                <w:szCs w:val="21"/>
              </w:rPr>
              <w:t>式脑机接口</w:t>
            </w:r>
            <w:proofErr w:type="gramEnd"/>
            <w:r>
              <w:rPr>
                <w:rFonts w:ascii="宋体" w:hint="eastAsia"/>
                <w:szCs w:val="21"/>
              </w:rPr>
              <w:t>团队创办成立，是</w:t>
            </w:r>
            <w:proofErr w:type="gramStart"/>
            <w:r>
              <w:rPr>
                <w:rFonts w:ascii="宋体" w:hint="eastAsia"/>
                <w:szCs w:val="21"/>
              </w:rPr>
              <w:t>南湖脑机交叉</w:t>
            </w:r>
            <w:proofErr w:type="gramEnd"/>
            <w:r>
              <w:rPr>
                <w:rFonts w:ascii="宋体" w:hint="eastAsia"/>
                <w:szCs w:val="21"/>
              </w:rPr>
              <w:t>研究院首个科技成果转化企业。</w:t>
            </w:r>
          </w:p>
          <w:p w14:paraId="0B94FE9F" w14:textId="1E0652D0" w:rsidR="00347AE9" w:rsidRDefault="006C184A">
            <w:pPr>
              <w:spacing w:beforeLines="50" w:before="156" w:line="360" w:lineRule="exact"/>
              <w:rPr>
                <w:rFonts w:ascii="宋体"/>
                <w:b/>
                <w:szCs w:val="21"/>
              </w:rPr>
            </w:pPr>
            <w:r>
              <w:rPr>
                <w:rFonts w:ascii="宋体"/>
                <w:b/>
                <w:szCs w:val="21"/>
              </w:rPr>
              <w:t>问：</w:t>
            </w:r>
            <w:r>
              <w:rPr>
                <w:rFonts w:ascii="宋体" w:hint="eastAsia"/>
                <w:b/>
                <w:szCs w:val="21"/>
              </w:rPr>
              <w:t>公司投资了</w:t>
            </w:r>
            <w:proofErr w:type="gramStart"/>
            <w:r>
              <w:rPr>
                <w:rFonts w:ascii="宋体" w:hint="eastAsia"/>
                <w:b/>
                <w:szCs w:val="21"/>
              </w:rPr>
              <w:t>脑机接口</w:t>
            </w:r>
            <w:proofErr w:type="gramEnd"/>
            <w:r>
              <w:rPr>
                <w:rFonts w:ascii="宋体" w:hint="eastAsia"/>
                <w:b/>
                <w:szCs w:val="21"/>
              </w:rPr>
              <w:t>的公司，能否介绍下相关情况？</w:t>
            </w:r>
          </w:p>
          <w:p w14:paraId="6F1BCFE1" w14:textId="5CD5D87A" w:rsidR="00347AE9" w:rsidRDefault="006C184A">
            <w:pPr>
              <w:spacing w:line="360" w:lineRule="exact"/>
              <w:rPr>
                <w:rFonts w:ascii="宋体"/>
                <w:szCs w:val="21"/>
              </w:rPr>
            </w:pPr>
            <w:r>
              <w:rPr>
                <w:rFonts w:ascii="宋体"/>
                <w:szCs w:val="21"/>
              </w:rPr>
              <w:t>答：</w:t>
            </w:r>
            <w:r>
              <w:rPr>
                <w:rFonts w:ascii="宋体" w:hint="eastAsia"/>
                <w:szCs w:val="21"/>
              </w:rPr>
              <w:t>公司近期通过子公司投资了杭州青石永</w:t>
            </w:r>
            <w:proofErr w:type="gramStart"/>
            <w:r>
              <w:rPr>
                <w:rFonts w:ascii="宋体" w:hint="eastAsia"/>
                <w:szCs w:val="21"/>
              </w:rPr>
              <w:t>隽</w:t>
            </w:r>
            <w:proofErr w:type="gramEnd"/>
            <w:r>
              <w:rPr>
                <w:rFonts w:ascii="宋体" w:hint="eastAsia"/>
                <w:szCs w:val="21"/>
              </w:rPr>
              <w:t>医疗设备有限公司（投后占比5%），该公司是由浙江大学侵入</w:t>
            </w:r>
            <w:proofErr w:type="gramStart"/>
            <w:r>
              <w:rPr>
                <w:rFonts w:ascii="宋体" w:hint="eastAsia"/>
                <w:szCs w:val="21"/>
              </w:rPr>
              <w:t>式脑机接口</w:t>
            </w:r>
            <w:proofErr w:type="gramEnd"/>
            <w:r>
              <w:rPr>
                <w:rFonts w:ascii="宋体" w:hint="eastAsia"/>
                <w:szCs w:val="21"/>
              </w:rPr>
              <w:t>团队创办成立，是</w:t>
            </w:r>
            <w:proofErr w:type="gramStart"/>
            <w:r>
              <w:rPr>
                <w:rFonts w:ascii="宋体" w:hint="eastAsia"/>
                <w:szCs w:val="21"/>
              </w:rPr>
              <w:t>南湖脑机交叉</w:t>
            </w:r>
            <w:proofErr w:type="gramEnd"/>
            <w:r>
              <w:rPr>
                <w:rFonts w:ascii="宋体" w:hint="eastAsia"/>
                <w:szCs w:val="21"/>
              </w:rPr>
              <w:t>研究院首个科技成果转化企业。该公司</w:t>
            </w:r>
            <w:r>
              <w:rPr>
                <w:rFonts w:ascii="宋体"/>
                <w:szCs w:val="21"/>
              </w:rPr>
              <w:t>的</w:t>
            </w:r>
            <w:r>
              <w:rPr>
                <w:rFonts w:ascii="宋体" w:hint="eastAsia"/>
                <w:szCs w:val="21"/>
              </w:rPr>
              <w:t>首款产品面向全球3亿抑郁症患者中近30%的难治性重症抑郁患</w:t>
            </w:r>
            <w:r>
              <w:rPr>
                <w:rFonts w:ascii="宋体" w:hint="eastAsia"/>
                <w:szCs w:val="21"/>
              </w:rPr>
              <w:lastRenderedPageBreak/>
              <w:t>者，通过装备AI算法的三类有源植入医疗器械，为患者提供因人、因病、因时的个性化治疗方案。目前，项目团队已完成一代产品的开发，内</w:t>
            </w:r>
            <w:proofErr w:type="gramStart"/>
            <w:r>
              <w:rPr>
                <w:rFonts w:ascii="宋体" w:hint="eastAsia"/>
                <w:szCs w:val="21"/>
              </w:rPr>
              <w:t>测动物</w:t>
            </w:r>
            <w:proofErr w:type="gramEnd"/>
            <w:r>
              <w:rPr>
                <w:rFonts w:ascii="宋体" w:hint="eastAsia"/>
                <w:szCs w:val="21"/>
              </w:rPr>
              <w:t>实验产品性能达到设计标准，且第一例科研型临床效果显著，已经开始</w:t>
            </w:r>
            <w:proofErr w:type="gramStart"/>
            <w:r>
              <w:rPr>
                <w:rFonts w:ascii="宋体" w:hint="eastAsia"/>
                <w:szCs w:val="21"/>
              </w:rPr>
              <w:t>进入型检阶段</w:t>
            </w:r>
            <w:proofErr w:type="gramEnd"/>
            <w:r>
              <w:rPr>
                <w:rFonts w:ascii="宋体" w:hint="eastAsia"/>
                <w:szCs w:val="21"/>
              </w:rPr>
              <w:t>。公司此次投资</w:t>
            </w:r>
            <w:r>
              <w:rPr>
                <w:rFonts w:ascii="宋体"/>
                <w:szCs w:val="21"/>
              </w:rPr>
              <w:t>是</w:t>
            </w:r>
            <w:r>
              <w:rPr>
                <w:rFonts w:ascii="宋体" w:hint="eastAsia"/>
                <w:szCs w:val="21"/>
              </w:rPr>
              <w:t>基于对</w:t>
            </w:r>
            <w:proofErr w:type="gramStart"/>
            <w:r>
              <w:rPr>
                <w:rFonts w:ascii="宋体" w:hint="eastAsia"/>
                <w:szCs w:val="21"/>
              </w:rPr>
              <w:t>脑机接口</w:t>
            </w:r>
            <w:proofErr w:type="gramEnd"/>
            <w:r>
              <w:rPr>
                <w:rFonts w:ascii="宋体" w:hint="eastAsia"/>
                <w:szCs w:val="21"/>
              </w:rPr>
              <w:t>未来市场前景以及浙大研发团队的深度分析做出的</w:t>
            </w:r>
            <w:r>
              <w:rPr>
                <w:rFonts w:ascii="宋体"/>
                <w:szCs w:val="21"/>
              </w:rPr>
              <w:t>，</w:t>
            </w:r>
            <w:r>
              <w:rPr>
                <w:rFonts w:ascii="宋体" w:hint="eastAsia"/>
                <w:szCs w:val="21"/>
              </w:rPr>
              <w:t>是一次探索由诊断向诊疗一体化前沿技术迈进的重要尝试，后续公司将持续跟进该公司的投后进展，积极推进相关合作。</w:t>
            </w:r>
          </w:p>
          <w:p w14:paraId="65B8DCDE" w14:textId="19FE65A5" w:rsidR="00347AE9" w:rsidRDefault="006C184A">
            <w:pPr>
              <w:spacing w:beforeLines="50" w:before="156" w:line="360" w:lineRule="exact"/>
              <w:rPr>
                <w:rFonts w:ascii="宋体"/>
                <w:b/>
                <w:szCs w:val="21"/>
              </w:rPr>
            </w:pPr>
            <w:r>
              <w:rPr>
                <w:rFonts w:ascii="宋体"/>
                <w:b/>
                <w:szCs w:val="21"/>
              </w:rPr>
              <w:t>问：</w:t>
            </w:r>
            <w:r>
              <w:rPr>
                <w:rFonts w:ascii="宋体" w:hint="eastAsia"/>
                <w:b/>
                <w:szCs w:val="21"/>
              </w:rPr>
              <w:t>公司在并购重组方向上的规划如何？</w:t>
            </w:r>
          </w:p>
          <w:p w14:paraId="51647C00" w14:textId="3ED0ECC7" w:rsidR="00347AE9" w:rsidRDefault="006C184A">
            <w:pPr>
              <w:spacing w:line="360" w:lineRule="exact"/>
              <w:rPr>
                <w:rFonts w:ascii="宋体"/>
                <w:szCs w:val="21"/>
              </w:rPr>
            </w:pPr>
            <w:r>
              <w:rPr>
                <w:rFonts w:ascii="宋体"/>
                <w:szCs w:val="21"/>
              </w:rPr>
              <w:t>答：目前，</w:t>
            </w:r>
            <w:r>
              <w:rPr>
                <w:rFonts w:ascii="宋体" w:hint="eastAsia"/>
                <w:szCs w:val="21"/>
              </w:rPr>
              <w:t>国家</w:t>
            </w:r>
            <w:r>
              <w:rPr>
                <w:rFonts w:ascii="宋体"/>
                <w:szCs w:val="21"/>
              </w:rPr>
              <w:t>政策鼓励</w:t>
            </w:r>
            <w:r>
              <w:rPr>
                <w:rFonts w:ascii="宋体" w:hint="eastAsia"/>
                <w:szCs w:val="21"/>
              </w:rPr>
              <w:t>支持上市公司</w:t>
            </w:r>
            <w:r>
              <w:rPr>
                <w:rFonts w:ascii="宋体"/>
                <w:szCs w:val="21"/>
              </w:rPr>
              <w:t>并购</w:t>
            </w:r>
            <w:r>
              <w:rPr>
                <w:rFonts w:ascii="宋体" w:hint="eastAsia"/>
                <w:szCs w:val="21"/>
              </w:rPr>
              <w:t>重组，同时相关产业的估值已经经历了价值重估，相较前两年的价格更为合理。我们认为现在是一个非常好的时机，如果有</w:t>
            </w:r>
            <w:r>
              <w:rPr>
                <w:rFonts w:ascii="宋体"/>
                <w:szCs w:val="21"/>
              </w:rPr>
              <w:t>产业协同</w:t>
            </w:r>
            <w:r>
              <w:rPr>
                <w:rFonts w:ascii="宋体" w:hint="eastAsia"/>
                <w:szCs w:val="21"/>
              </w:rPr>
              <w:t>或技术</w:t>
            </w:r>
            <w:r>
              <w:rPr>
                <w:rFonts w:ascii="宋体"/>
                <w:szCs w:val="21"/>
              </w:rPr>
              <w:t>互补的优质</w:t>
            </w:r>
            <w:r>
              <w:rPr>
                <w:rFonts w:ascii="宋体" w:hint="eastAsia"/>
                <w:szCs w:val="21"/>
              </w:rPr>
              <w:t>标的</w:t>
            </w:r>
            <w:r>
              <w:rPr>
                <w:rFonts w:ascii="宋体"/>
                <w:szCs w:val="21"/>
              </w:rPr>
              <w:t>，公司</w:t>
            </w:r>
            <w:r>
              <w:rPr>
                <w:rFonts w:ascii="宋体" w:hint="eastAsia"/>
                <w:szCs w:val="21"/>
              </w:rPr>
              <w:t>将抓住机遇</w:t>
            </w:r>
            <w:r>
              <w:rPr>
                <w:rFonts w:ascii="宋体"/>
                <w:szCs w:val="21"/>
              </w:rPr>
              <w:t>。</w:t>
            </w:r>
            <w:r>
              <w:rPr>
                <w:rFonts w:ascii="宋体" w:hint="eastAsia"/>
                <w:szCs w:val="21"/>
              </w:rPr>
              <w:t>因并购本身存在较大的不确定性及整合难度</w:t>
            </w:r>
            <w:r>
              <w:rPr>
                <w:rFonts w:ascii="宋体"/>
                <w:szCs w:val="21"/>
              </w:rPr>
              <w:t>，</w:t>
            </w:r>
            <w:r>
              <w:rPr>
                <w:rFonts w:ascii="宋体" w:hint="eastAsia"/>
                <w:szCs w:val="21"/>
              </w:rPr>
              <w:t>公司将始终保持审慎负责的态度，稳妥推进。上述</w:t>
            </w:r>
            <w:proofErr w:type="gramStart"/>
            <w:r>
              <w:rPr>
                <w:rFonts w:ascii="宋体"/>
                <w:szCs w:val="21"/>
              </w:rPr>
              <w:t>表述仅</w:t>
            </w:r>
            <w:proofErr w:type="gramEnd"/>
            <w:r>
              <w:rPr>
                <w:rFonts w:ascii="宋体"/>
                <w:szCs w:val="21"/>
              </w:rPr>
              <w:t>为公司对待并购</w:t>
            </w:r>
            <w:r>
              <w:rPr>
                <w:rFonts w:ascii="宋体" w:hint="eastAsia"/>
                <w:szCs w:val="21"/>
              </w:rPr>
              <w:t>重组的</w:t>
            </w:r>
            <w:r>
              <w:rPr>
                <w:rFonts w:ascii="宋体"/>
                <w:szCs w:val="21"/>
              </w:rPr>
              <w:t>态度，具体相关事宜请</w:t>
            </w:r>
            <w:r>
              <w:rPr>
                <w:rFonts w:ascii="宋体" w:hint="eastAsia"/>
                <w:szCs w:val="21"/>
              </w:rPr>
              <w:t>以公司披露</w:t>
            </w:r>
            <w:r>
              <w:rPr>
                <w:rFonts w:ascii="宋体"/>
                <w:szCs w:val="21"/>
              </w:rPr>
              <w:t>的公告为准。</w:t>
            </w:r>
          </w:p>
        </w:tc>
      </w:tr>
      <w:tr w:rsidR="00347AE9" w14:paraId="0BE7AD3C" w14:textId="77777777">
        <w:trPr>
          <w:trHeight w:val="557"/>
          <w:jc w:val="center"/>
        </w:trPr>
        <w:tc>
          <w:tcPr>
            <w:tcW w:w="2263" w:type="dxa"/>
            <w:shd w:val="clear" w:color="auto" w:fill="auto"/>
            <w:vAlign w:val="center"/>
          </w:tcPr>
          <w:p w14:paraId="6264E49D" w14:textId="77777777" w:rsidR="00347AE9" w:rsidRDefault="006C184A">
            <w:pPr>
              <w:spacing w:beforeLines="25" w:before="78" w:afterLines="25" w:after="78"/>
              <w:rPr>
                <w:rFonts w:ascii="宋体" w:hAnsi="宋体"/>
                <w:b/>
                <w:bCs/>
                <w:iCs/>
                <w:sz w:val="24"/>
                <w:szCs w:val="24"/>
              </w:rPr>
            </w:pPr>
            <w:r>
              <w:rPr>
                <w:rFonts w:ascii="宋体" w:hAnsi="宋体" w:hint="eastAsia"/>
                <w:b/>
                <w:bCs/>
                <w:iCs/>
                <w:sz w:val="24"/>
                <w:szCs w:val="24"/>
              </w:rPr>
              <w:lastRenderedPageBreak/>
              <w:t>是否涉及应当披露重大信息的说明</w:t>
            </w:r>
          </w:p>
        </w:tc>
        <w:tc>
          <w:tcPr>
            <w:tcW w:w="6033" w:type="dxa"/>
            <w:shd w:val="clear" w:color="auto" w:fill="auto"/>
            <w:vAlign w:val="center"/>
          </w:tcPr>
          <w:p w14:paraId="163EB647" w14:textId="77777777" w:rsidR="00347AE9" w:rsidRDefault="006C184A">
            <w:pPr>
              <w:spacing w:line="360" w:lineRule="auto"/>
              <w:rPr>
                <w:rFonts w:ascii="宋体" w:hAnsi="宋体"/>
                <w:bCs/>
                <w:iCs/>
                <w:sz w:val="24"/>
                <w:szCs w:val="24"/>
              </w:rPr>
            </w:pPr>
            <w:r>
              <w:rPr>
                <w:rFonts w:ascii="宋体" w:hAnsi="宋体" w:hint="eastAsia"/>
                <w:bCs/>
                <w:iCs/>
                <w:sz w:val="24"/>
                <w:szCs w:val="24"/>
              </w:rPr>
              <w:t>不涉及</w:t>
            </w:r>
          </w:p>
        </w:tc>
      </w:tr>
      <w:tr w:rsidR="00347AE9" w14:paraId="6547A86A" w14:textId="77777777">
        <w:trPr>
          <w:trHeight w:val="557"/>
          <w:jc w:val="center"/>
        </w:trPr>
        <w:tc>
          <w:tcPr>
            <w:tcW w:w="2263" w:type="dxa"/>
            <w:shd w:val="clear" w:color="auto" w:fill="auto"/>
            <w:vAlign w:val="center"/>
          </w:tcPr>
          <w:p w14:paraId="3324E2D1" w14:textId="77777777" w:rsidR="00347AE9" w:rsidRDefault="006C184A">
            <w:pPr>
              <w:spacing w:beforeLines="25" w:before="78" w:afterLines="25" w:after="78"/>
              <w:rPr>
                <w:rFonts w:ascii="宋体" w:hAnsi="宋体"/>
                <w:b/>
                <w:bCs/>
                <w:iCs/>
                <w:sz w:val="24"/>
                <w:szCs w:val="24"/>
              </w:rPr>
            </w:pPr>
            <w:r>
              <w:rPr>
                <w:rFonts w:ascii="宋体" w:hAnsi="宋体" w:hint="eastAsia"/>
                <w:b/>
                <w:bCs/>
                <w:iCs/>
                <w:sz w:val="24"/>
                <w:szCs w:val="24"/>
              </w:rPr>
              <w:t>附件清单（如）</w:t>
            </w:r>
          </w:p>
        </w:tc>
        <w:tc>
          <w:tcPr>
            <w:tcW w:w="6033" w:type="dxa"/>
            <w:shd w:val="clear" w:color="auto" w:fill="auto"/>
            <w:vAlign w:val="center"/>
          </w:tcPr>
          <w:p w14:paraId="7E80A4D7" w14:textId="77777777" w:rsidR="00347AE9" w:rsidRDefault="006C184A">
            <w:pPr>
              <w:spacing w:line="360" w:lineRule="auto"/>
              <w:rPr>
                <w:rFonts w:ascii="宋体" w:hAnsi="宋体"/>
                <w:bCs/>
                <w:iCs/>
                <w:sz w:val="24"/>
                <w:szCs w:val="24"/>
              </w:rPr>
            </w:pPr>
            <w:r>
              <w:rPr>
                <w:rFonts w:ascii="宋体" w:hAnsi="宋体" w:hint="eastAsia"/>
                <w:bCs/>
                <w:iCs/>
                <w:sz w:val="24"/>
                <w:szCs w:val="24"/>
              </w:rPr>
              <w:t>无</w:t>
            </w:r>
          </w:p>
        </w:tc>
      </w:tr>
      <w:tr w:rsidR="00347AE9" w14:paraId="3DE59833" w14:textId="77777777">
        <w:trPr>
          <w:trHeight w:val="557"/>
          <w:jc w:val="center"/>
        </w:trPr>
        <w:tc>
          <w:tcPr>
            <w:tcW w:w="2263" w:type="dxa"/>
            <w:shd w:val="clear" w:color="auto" w:fill="auto"/>
            <w:vAlign w:val="center"/>
          </w:tcPr>
          <w:p w14:paraId="7EBE6EE3" w14:textId="77777777" w:rsidR="00347AE9" w:rsidRDefault="006C184A">
            <w:pPr>
              <w:spacing w:beforeLines="25" w:before="78" w:afterLines="25" w:after="78"/>
              <w:rPr>
                <w:rFonts w:ascii="宋体" w:hAnsi="宋体"/>
                <w:b/>
                <w:bCs/>
                <w:iCs/>
                <w:sz w:val="24"/>
                <w:szCs w:val="24"/>
              </w:rPr>
            </w:pPr>
            <w:r>
              <w:rPr>
                <w:rFonts w:ascii="宋体" w:hAnsi="宋体" w:hint="eastAsia"/>
                <w:b/>
                <w:bCs/>
                <w:iCs/>
                <w:sz w:val="24"/>
                <w:szCs w:val="24"/>
              </w:rPr>
              <w:t>日期</w:t>
            </w:r>
          </w:p>
        </w:tc>
        <w:tc>
          <w:tcPr>
            <w:tcW w:w="6033" w:type="dxa"/>
            <w:shd w:val="clear" w:color="auto" w:fill="auto"/>
            <w:vAlign w:val="center"/>
          </w:tcPr>
          <w:p w14:paraId="53B50D48" w14:textId="77777777" w:rsidR="00347AE9" w:rsidRDefault="006C184A">
            <w:pPr>
              <w:spacing w:line="360" w:lineRule="auto"/>
              <w:rPr>
                <w:rFonts w:ascii="宋体" w:hAnsi="宋体"/>
                <w:iCs/>
                <w:sz w:val="24"/>
                <w:szCs w:val="24"/>
              </w:rPr>
            </w:pPr>
            <w:r>
              <w:rPr>
                <w:rFonts w:ascii="宋体" w:hAnsi="宋体" w:hint="eastAsia"/>
                <w:iCs/>
                <w:sz w:val="24"/>
                <w:szCs w:val="24"/>
              </w:rPr>
              <w:t>2</w:t>
            </w:r>
            <w:r>
              <w:rPr>
                <w:rFonts w:ascii="宋体" w:hAnsi="宋体"/>
                <w:iCs/>
                <w:sz w:val="24"/>
                <w:szCs w:val="24"/>
              </w:rPr>
              <w:t>025</w:t>
            </w:r>
            <w:r>
              <w:rPr>
                <w:rFonts w:ascii="宋体" w:hAnsi="宋体" w:hint="eastAsia"/>
                <w:iCs/>
                <w:sz w:val="24"/>
                <w:szCs w:val="24"/>
              </w:rPr>
              <w:t>年</w:t>
            </w:r>
            <w:r>
              <w:rPr>
                <w:rFonts w:ascii="宋体" w:hAnsi="宋体"/>
                <w:iCs/>
                <w:sz w:val="24"/>
                <w:szCs w:val="24"/>
              </w:rPr>
              <w:t>5</w:t>
            </w:r>
            <w:r>
              <w:rPr>
                <w:rFonts w:ascii="宋体" w:hAnsi="宋体" w:hint="eastAsia"/>
                <w:iCs/>
                <w:sz w:val="24"/>
                <w:szCs w:val="24"/>
              </w:rPr>
              <w:t>月</w:t>
            </w:r>
          </w:p>
        </w:tc>
      </w:tr>
    </w:tbl>
    <w:p w14:paraId="52569A64" w14:textId="77777777" w:rsidR="00347AE9" w:rsidRDefault="00347AE9"/>
    <w:p w14:paraId="460393D5" w14:textId="77777777" w:rsidR="00347AE9" w:rsidRDefault="00347AE9"/>
    <w:sectPr w:rsidR="00347AE9">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30650" w14:textId="77777777" w:rsidR="00520880" w:rsidRDefault="00520880">
      <w:r>
        <w:separator/>
      </w:r>
    </w:p>
  </w:endnote>
  <w:endnote w:type="continuationSeparator" w:id="0">
    <w:p w14:paraId="28AC20CE" w14:textId="77777777" w:rsidR="00520880" w:rsidRDefault="0052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6C30B" w14:textId="77777777" w:rsidR="00520880" w:rsidRDefault="00520880">
      <w:r>
        <w:separator/>
      </w:r>
    </w:p>
  </w:footnote>
  <w:footnote w:type="continuationSeparator" w:id="0">
    <w:p w14:paraId="470CF1C4" w14:textId="77777777" w:rsidR="00520880" w:rsidRDefault="005208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5D79D" w14:textId="77777777" w:rsidR="00347AE9" w:rsidRDefault="006C184A">
    <w:pPr>
      <w:pStyle w:val="a5"/>
      <w:tabs>
        <w:tab w:val="clear" w:pos="4153"/>
      </w:tabs>
      <w:wordWrap w:val="0"/>
      <w:jc w:val="right"/>
    </w:pPr>
    <w:proofErr w:type="gramStart"/>
    <w:r>
      <w:rPr>
        <w:rFonts w:hint="eastAsia"/>
      </w:rPr>
      <w:t>杭州博拓生物</w:t>
    </w:r>
    <w:proofErr w:type="gramEnd"/>
    <w:r>
      <w:rPr>
        <w:rFonts w:hint="eastAsia"/>
      </w:rPr>
      <w:t>科技股份有限公司</w:t>
    </w:r>
    <w:r>
      <w:rPr>
        <w:rFonts w:hint="eastAsia"/>
      </w:rPr>
      <w:t xml:space="preserve">  </w:t>
    </w:r>
    <w:r>
      <w:t xml:space="preserve">                                          </w:t>
    </w:r>
    <w:r>
      <w:rPr>
        <w:rFonts w:hint="eastAsia"/>
      </w:rPr>
      <w:t>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3NTlhNGJhZTk1YmZkMTc2MTM0MTg2MGI3NTFmMTEifQ=="/>
  </w:docVars>
  <w:rsids>
    <w:rsidRoot w:val="00BD1D20"/>
    <w:rsid w:val="0000103D"/>
    <w:rsid w:val="00010F6E"/>
    <w:rsid w:val="00026804"/>
    <w:rsid w:val="000E3880"/>
    <w:rsid w:val="000F4B95"/>
    <w:rsid w:val="0012690D"/>
    <w:rsid w:val="00201276"/>
    <w:rsid w:val="002018E5"/>
    <w:rsid w:val="00217E64"/>
    <w:rsid w:val="00251794"/>
    <w:rsid w:val="0025727C"/>
    <w:rsid w:val="00281E09"/>
    <w:rsid w:val="002D05DE"/>
    <w:rsid w:val="002E2D3F"/>
    <w:rsid w:val="00347AE9"/>
    <w:rsid w:val="00354386"/>
    <w:rsid w:val="003706CD"/>
    <w:rsid w:val="0037689E"/>
    <w:rsid w:val="003F28EB"/>
    <w:rsid w:val="004468DB"/>
    <w:rsid w:val="00520880"/>
    <w:rsid w:val="005250D9"/>
    <w:rsid w:val="005C0B44"/>
    <w:rsid w:val="005D5DC7"/>
    <w:rsid w:val="0063422D"/>
    <w:rsid w:val="00641D54"/>
    <w:rsid w:val="00674FE7"/>
    <w:rsid w:val="00690617"/>
    <w:rsid w:val="00690AE9"/>
    <w:rsid w:val="006977B4"/>
    <w:rsid w:val="006C184A"/>
    <w:rsid w:val="007534A0"/>
    <w:rsid w:val="0075389C"/>
    <w:rsid w:val="007553DA"/>
    <w:rsid w:val="00833ABE"/>
    <w:rsid w:val="008B5A9C"/>
    <w:rsid w:val="008D1077"/>
    <w:rsid w:val="00926A4F"/>
    <w:rsid w:val="00927BC8"/>
    <w:rsid w:val="00930B0F"/>
    <w:rsid w:val="00970CC9"/>
    <w:rsid w:val="00992183"/>
    <w:rsid w:val="009C150F"/>
    <w:rsid w:val="00A14C5A"/>
    <w:rsid w:val="00A32CBB"/>
    <w:rsid w:val="00A625BD"/>
    <w:rsid w:val="00B04316"/>
    <w:rsid w:val="00B50491"/>
    <w:rsid w:val="00BA1C9F"/>
    <w:rsid w:val="00BD1D20"/>
    <w:rsid w:val="00C31D74"/>
    <w:rsid w:val="00C528BD"/>
    <w:rsid w:val="00C52D10"/>
    <w:rsid w:val="00C83E9D"/>
    <w:rsid w:val="00C84ACF"/>
    <w:rsid w:val="00DB190F"/>
    <w:rsid w:val="00DD4434"/>
    <w:rsid w:val="00DD5DD4"/>
    <w:rsid w:val="00E25F23"/>
    <w:rsid w:val="00E42664"/>
    <w:rsid w:val="00EA087D"/>
    <w:rsid w:val="00EA1474"/>
    <w:rsid w:val="00EA5B38"/>
    <w:rsid w:val="00EB33BB"/>
    <w:rsid w:val="00EF4994"/>
    <w:rsid w:val="00F13AB1"/>
    <w:rsid w:val="00F64DAE"/>
    <w:rsid w:val="00F73F07"/>
    <w:rsid w:val="00FB55F3"/>
    <w:rsid w:val="0F89028B"/>
    <w:rsid w:val="102A2753"/>
    <w:rsid w:val="1CB2496B"/>
    <w:rsid w:val="259F1096"/>
    <w:rsid w:val="28BB61E6"/>
    <w:rsid w:val="291678C1"/>
    <w:rsid w:val="2F650C5A"/>
    <w:rsid w:val="3E817133"/>
    <w:rsid w:val="4F7014DC"/>
    <w:rsid w:val="51FD48CA"/>
    <w:rsid w:val="5FB567E4"/>
    <w:rsid w:val="61B42C51"/>
    <w:rsid w:val="654F3237"/>
    <w:rsid w:val="66652D12"/>
    <w:rsid w:val="670E1BEF"/>
    <w:rsid w:val="68437083"/>
    <w:rsid w:val="75A1363B"/>
    <w:rsid w:val="7B1D7C08"/>
    <w:rsid w:val="7F87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B1340"/>
  <w15:docId w15:val="{7A2E3860-3817-4B2E-829F-4F4DBE1E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uiPriority w:val="99"/>
    <w:unhideWhenUsed/>
    <w:qFormat/>
    <w:rPr>
      <w:color w:val="0563C1"/>
      <w:u w:val="single"/>
    </w:rPr>
  </w:style>
  <w:style w:type="paragraph" w:customStyle="1" w:styleId="Style6">
    <w:name w:val="_Style 6"/>
    <w:basedOn w:val="a"/>
    <w:uiPriority w:val="34"/>
    <w:qFormat/>
    <w:pPr>
      <w:ind w:firstLineChars="200" w:firstLine="420"/>
    </w:pPr>
  </w:style>
  <w:style w:type="character" w:customStyle="1" w:styleId="a4">
    <w:name w:val="页脚 字符"/>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1384</Words>
  <Characters>1718</Characters>
  <Application>Microsoft Office Word</Application>
  <DocSecurity>0</DocSecurity>
  <Lines>190</Lines>
  <Paragraphs>172</Paragraphs>
  <ScaleCrop>false</ScaleCrop>
  <Company>Micorosoft</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Micorosoft</cp:lastModifiedBy>
  <cp:revision>3</cp:revision>
  <dcterms:created xsi:type="dcterms:W3CDTF">2025-05-30T07:58:00Z</dcterms:created>
  <dcterms:modified xsi:type="dcterms:W3CDTF">2025-05-30T08:03:00Z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209E8F5F19474D9B86DA58D8A53133EF</vt:lpwstr>
  </property>
  <property fmtid="{D5CDD505-2E9C-101B-9397-08002B2CF9AE}" pid="4" name="KSOTemplateDocerSaveRecord">
    <vt:lpwstr>eyJoZGlkIjoiNTdlM2UwNjRjNGViMGVkMmExMjJmNzM4YzMwOTBjOTUiLCJ1c2VySWQiOiI0MTkzMzE5MTIifQ==</vt:lpwstr>
  </property>
</Properties>
</file>