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52DE">
      <w:pPr>
        <w:spacing w:before="277" w:after="120" w:afterLines="50" w:line="360" w:lineRule="auto"/>
        <w:ind w:left="10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证券代码：600060</w:t>
      </w:r>
      <w:r>
        <w:rPr>
          <w:rFonts w:ascii="Times New Roman" w:hAnsi="Times New Roman" w:eastAsia="Times New Roman" w:cs="Times New Roman"/>
          <w:sz w:val="24"/>
          <w:szCs w:val="24"/>
          <w:lang w:eastAsia="zh-CN"/>
        </w:rPr>
        <w:t xml:space="preserve">                                                                    </w:t>
      </w:r>
      <w:r>
        <w:rPr>
          <w:rFonts w:ascii="Times New Roman" w:hAnsi="Times New Roman" w:eastAsia="宋体" w:cs="Times New Roman"/>
          <w:spacing w:val="-1"/>
          <w:sz w:val="24"/>
          <w:szCs w:val="24"/>
          <w:lang w:eastAsia="zh-CN"/>
        </w:rPr>
        <w:t>证券简称：海信视像</w:t>
      </w:r>
    </w:p>
    <w:p w14:paraId="4A63CD70">
      <w:pPr>
        <w:spacing w:before="204" w:line="225" w:lineRule="auto"/>
        <w:jc w:val="center"/>
        <w:outlineLvl w:val="0"/>
        <w:rPr>
          <w:rFonts w:ascii="Times New Roman" w:hAnsi="Times New Roman" w:eastAsia="宋体" w:cs="Times New Roman"/>
          <w:b/>
          <w:bCs/>
          <w:spacing w:val="7"/>
          <w:sz w:val="31"/>
          <w:szCs w:val="31"/>
          <w:lang w:eastAsia="zh-CN"/>
        </w:rPr>
      </w:pPr>
      <w:r>
        <w:rPr>
          <w:rFonts w:ascii="Times New Roman" w:hAnsi="Times New Roman" w:eastAsia="宋体" w:cs="Times New Roman"/>
          <w:b/>
          <w:bCs/>
          <w:spacing w:val="7"/>
          <w:sz w:val="31"/>
          <w:szCs w:val="31"/>
          <w:lang w:eastAsia="zh-CN"/>
        </w:rPr>
        <w:t>海信视像科技股份有限公司投资者关系活动记录表</w:t>
      </w:r>
    </w:p>
    <w:p w14:paraId="65E20D7D">
      <w:pPr>
        <w:spacing w:before="204" w:line="225" w:lineRule="auto"/>
        <w:jc w:val="right"/>
        <w:outlineLvl w:val="0"/>
        <w:rPr>
          <w:rFonts w:ascii="Times New Roman" w:hAnsi="Times New Roman" w:cs="Times New Roman"/>
          <w:sz w:val="2"/>
          <w:lang w:eastAsia="zh-CN"/>
        </w:rPr>
      </w:pPr>
      <w:r>
        <w:rPr>
          <w:rFonts w:ascii="Times New Roman" w:hAnsi="Times New Roman" w:eastAsia="宋体" w:cs="Times New Roman"/>
          <w:spacing w:val="-7"/>
          <w:sz w:val="24"/>
          <w:szCs w:val="24"/>
          <w:lang w:eastAsia="zh-CN"/>
        </w:rPr>
        <w:t>编号：2025-0</w:t>
      </w:r>
      <w:r>
        <w:rPr>
          <w:rFonts w:hint="eastAsia" w:ascii="Times New Roman" w:hAnsi="Times New Roman" w:eastAsia="宋体" w:cs="Times New Roman"/>
          <w:spacing w:val="-7"/>
          <w:sz w:val="24"/>
          <w:szCs w:val="24"/>
          <w:lang w:val="en-US" w:eastAsia="zh-CN"/>
        </w:rPr>
        <w:t>6</w:t>
      </w:r>
    </w:p>
    <w:tbl>
      <w:tblPr>
        <w:tblStyle w:val="13"/>
        <w:tblW w:w="6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4"/>
        <w:gridCol w:w="3752"/>
        <w:gridCol w:w="4502"/>
      </w:tblGrid>
      <w:tr w14:paraId="4BDF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969" w:type="pct"/>
            <w:vAlign w:val="center"/>
          </w:tcPr>
          <w:p w14:paraId="3BBFB38B">
            <w:pPr>
              <w:spacing w:line="272" w:lineRule="auto"/>
              <w:jc w:val="center"/>
              <w:rPr>
                <w:rFonts w:ascii="Times New Roman" w:hAnsi="Times New Roman" w:cs="Times New Roman"/>
                <w:lang w:eastAsia="zh-CN"/>
              </w:rPr>
            </w:pPr>
          </w:p>
          <w:p w14:paraId="4457A381">
            <w:pPr>
              <w:spacing w:line="272" w:lineRule="auto"/>
              <w:jc w:val="center"/>
              <w:rPr>
                <w:rFonts w:ascii="Times New Roman" w:hAnsi="Times New Roman" w:cs="Times New Roman"/>
                <w:lang w:eastAsia="zh-CN"/>
              </w:rPr>
            </w:pPr>
          </w:p>
          <w:p w14:paraId="712854B1">
            <w:pPr>
              <w:pStyle w:val="14"/>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32" w:type="pct"/>
            <w:tcBorders>
              <w:right w:val="nil"/>
            </w:tcBorders>
          </w:tcPr>
          <w:p w14:paraId="3345F96C">
            <w:pPr>
              <w:pStyle w:val="14"/>
              <w:spacing w:before="117" w:line="220" w:lineRule="auto"/>
              <w:ind w:left="135"/>
              <w:rPr>
                <w:rFonts w:ascii="Times New Roman" w:hAnsi="Times New Roman" w:cs="Times New Roman"/>
                <w:lang w:eastAsia="zh-CN"/>
              </w:rPr>
            </w:pPr>
            <w:r>
              <w:rPr>
                <w:rFonts w:ascii="Segoe UI Symbol" w:hAnsi="Segoe UI Symbol" w:cs="Segoe UI Symbol"/>
                <w:spacing w:val="-5"/>
                <w:lang w:eastAsia="zh-CN"/>
              </w:rPr>
              <w:t>☑</w:t>
            </w:r>
            <w:r>
              <w:rPr>
                <w:rFonts w:ascii="Times New Roman" w:hAnsi="Times New Roman" w:cs="Times New Roman"/>
                <w:spacing w:val="-5"/>
                <w:lang w:eastAsia="zh-CN"/>
              </w:rPr>
              <w:t>特定对象调研</w:t>
            </w:r>
          </w:p>
          <w:p w14:paraId="1E7E6619">
            <w:pPr>
              <w:pStyle w:val="14"/>
              <w:spacing w:before="182" w:line="219" w:lineRule="auto"/>
              <w:ind w:left="135"/>
              <w:rPr>
                <w:rFonts w:ascii="Times New Roman" w:hAnsi="Times New Roman" w:cs="Times New Roman"/>
                <w:lang w:eastAsia="zh-CN"/>
              </w:rPr>
            </w:pPr>
            <w:bookmarkStart w:id="0" w:name="OLE_LINK6"/>
            <w:bookmarkStart w:id="1" w:name="OLE_LINK7"/>
            <w:r>
              <w:rPr>
                <w:rFonts w:ascii="Times New Roman" w:hAnsi="Times New Roman" w:cs="Times New Roman"/>
                <w:spacing w:val="-6"/>
                <w:lang w:eastAsia="zh-CN"/>
              </w:rPr>
              <w:t>□</w:t>
            </w:r>
            <w:bookmarkEnd w:id="0"/>
            <w:bookmarkEnd w:id="1"/>
            <w:r>
              <w:rPr>
                <w:rFonts w:ascii="Times New Roman" w:hAnsi="Times New Roman" w:cs="Times New Roman"/>
                <w:spacing w:val="-6"/>
                <w:lang w:eastAsia="zh-CN"/>
              </w:rPr>
              <w:t>媒体采访</w:t>
            </w:r>
          </w:p>
          <w:p w14:paraId="721F99F5">
            <w:pPr>
              <w:pStyle w:val="14"/>
              <w:spacing w:before="183" w:line="219" w:lineRule="auto"/>
              <w:ind w:left="135"/>
              <w:rPr>
                <w:rFonts w:ascii="Times New Roman" w:hAnsi="Times New Roman" w:cs="Times New Roman"/>
                <w:lang w:eastAsia="zh-CN"/>
              </w:rPr>
            </w:pPr>
            <w:r>
              <w:rPr>
                <w:rFonts w:ascii="Times New Roman" w:hAnsi="Times New Roman" w:cs="Times New Roman"/>
                <w:spacing w:val="-5"/>
                <w:lang w:eastAsia="zh-CN"/>
              </w:rPr>
              <w:t>□新闻发布会</w:t>
            </w:r>
          </w:p>
          <w:p w14:paraId="416233C8">
            <w:pPr>
              <w:pStyle w:val="14"/>
              <w:spacing w:before="182" w:line="219" w:lineRule="auto"/>
              <w:ind w:left="135"/>
              <w:rPr>
                <w:rFonts w:ascii="Times New Roman" w:hAnsi="Times New Roman" w:cs="Times New Roman"/>
                <w:spacing w:val="-6"/>
                <w:lang w:eastAsia="zh-CN"/>
              </w:rPr>
            </w:pPr>
            <w:r>
              <w:rPr>
                <w:rFonts w:ascii="Times New Roman" w:hAnsi="Times New Roman" w:cs="Times New Roman"/>
                <w:spacing w:val="-6"/>
                <w:lang w:eastAsia="zh-CN"/>
              </w:rPr>
              <w:t xml:space="preserve">□现场参观 </w:t>
            </w:r>
          </w:p>
          <w:p w14:paraId="6F694929">
            <w:pPr>
              <w:pStyle w:val="14"/>
              <w:spacing w:before="182" w:line="219" w:lineRule="auto"/>
              <w:ind w:left="135"/>
              <w:rPr>
                <w:rFonts w:ascii="Times New Roman" w:hAnsi="Times New Roman" w:cs="Times New Roman"/>
                <w:lang w:eastAsia="zh-CN"/>
              </w:rPr>
            </w:pPr>
            <w:r>
              <w:rPr>
                <w:rFonts w:ascii="Segoe UI Symbol" w:hAnsi="Segoe UI Symbol" w:cs="Segoe UI Symbol"/>
                <w:spacing w:val="-5"/>
                <w:lang w:eastAsia="zh-CN"/>
              </w:rPr>
              <w:t>☑</w:t>
            </w:r>
            <w:r>
              <w:rPr>
                <w:rFonts w:ascii="Times New Roman" w:hAnsi="Times New Roman" w:cs="Times New Roman"/>
                <w:spacing w:val="-6"/>
                <w:lang w:eastAsia="zh-CN"/>
              </w:rPr>
              <w:t>其他</w:t>
            </w:r>
            <w:r>
              <w:rPr>
                <w:rFonts w:hint="eastAsia" w:ascii="Times New Roman" w:hAnsi="Times New Roman" w:cs="Times New Roman"/>
                <w:spacing w:val="-6"/>
                <w:lang w:eastAsia="zh-CN"/>
              </w:rPr>
              <w:t>（电话会议）</w:t>
            </w:r>
          </w:p>
        </w:tc>
        <w:tc>
          <w:tcPr>
            <w:tcW w:w="2198" w:type="pct"/>
            <w:tcBorders>
              <w:left w:val="nil"/>
            </w:tcBorders>
          </w:tcPr>
          <w:p w14:paraId="35288B01">
            <w:pPr>
              <w:pStyle w:val="14"/>
              <w:spacing w:before="117" w:line="219" w:lineRule="auto"/>
              <w:ind w:left="484"/>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2"/>
                <w:lang w:eastAsia="zh-CN"/>
              </w:rPr>
              <w:t>分析师会议</w:t>
            </w:r>
          </w:p>
          <w:p w14:paraId="6F69686C">
            <w:pPr>
              <w:pStyle w:val="14"/>
              <w:spacing w:before="183" w:line="219" w:lineRule="auto"/>
              <w:ind w:left="511"/>
              <w:rPr>
                <w:rFonts w:ascii="Times New Roman" w:hAnsi="Times New Roman" w:cs="Times New Roman"/>
                <w:sz w:val="22"/>
                <w:szCs w:val="22"/>
                <w:lang w:eastAsia="zh-CN"/>
              </w:rPr>
            </w:pPr>
            <w:r>
              <w:rPr>
                <w:rFonts w:ascii="Times New Roman" w:hAnsi="Times New Roman" w:cs="Times New Roman"/>
                <w:spacing w:val="-6"/>
                <w:lang w:eastAsia="zh-CN"/>
              </w:rPr>
              <w:t>□</w:t>
            </w:r>
            <w:r>
              <w:rPr>
                <w:rFonts w:ascii="Times New Roman" w:hAnsi="Times New Roman" w:cs="Times New Roman"/>
                <w:spacing w:val="-5"/>
                <w:lang w:eastAsia="zh-CN"/>
              </w:rPr>
              <w:t>业绩说明会</w:t>
            </w:r>
          </w:p>
          <w:p w14:paraId="39D7E6E1">
            <w:pPr>
              <w:pStyle w:val="14"/>
              <w:spacing w:before="182" w:line="220" w:lineRule="auto"/>
              <w:ind w:left="511"/>
              <w:rPr>
                <w:rFonts w:ascii="Times New Roman" w:hAnsi="Times New Roman" w:cs="Times New Roman"/>
                <w:spacing w:val="-7"/>
                <w:lang w:eastAsia="zh-CN"/>
              </w:rPr>
            </w:pPr>
            <w:r>
              <w:rPr>
                <w:rFonts w:ascii="Times New Roman" w:hAnsi="Times New Roman" w:cs="Times New Roman"/>
                <w:spacing w:val="-6"/>
                <w:lang w:eastAsia="zh-CN"/>
              </w:rPr>
              <w:t>□</w:t>
            </w:r>
            <w:r>
              <w:rPr>
                <w:rFonts w:ascii="Times New Roman" w:hAnsi="Times New Roman" w:cs="Times New Roman"/>
                <w:spacing w:val="-7"/>
                <w:lang w:eastAsia="zh-CN"/>
              </w:rPr>
              <w:t>路演活动</w:t>
            </w:r>
          </w:p>
          <w:p w14:paraId="2AC11218">
            <w:pPr>
              <w:pStyle w:val="14"/>
              <w:spacing w:before="182" w:line="220" w:lineRule="auto"/>
              <w:ind w:left="511"/>
              <w:rPr>
                <w:rFonts w:ascii="Times New Roman" w:hAnsi="Times New Roman" w:cs="Times New Roman"/>
                <w:spacing w:val="-7"/>
                <w:lang w:eastAsia="zh-CN"/>
              </w:rPr>
            </w:pPr>
          </w:p>
        </w:tc>
      </w:tr>
      <w:tr w14:paraId="2F1C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969" w:type="pct"/>
            <w:vAlign w:val="center"/>
          </w:tcPr>
          <w:p w14:paraId="65B027C1">
            <w:pPr>
              <w:pStyle w:val="14"/>
              <w:spacing w:before="115" w:line="220" w:lineRule="auto"/>
              <w:ind w:left="119"/>
              <w:jc w:val="center"/>
              <w:rPr>
                <w:rFonts w:ascii="Times New Roman" w:hAnsi="Times New Roman" w:cs="Times New Roman"/>
              </w:rPr>
            </w:pPr>
            <w:r>
              <w:rPr>
                <w:rFonts w:ascii="Times New Roman" w:hAnsi="Times New Roman" w:cs="Times New Roman"/>
                <w:spacing w:val="-2"/>
              </w:rPr>
              <w:t>参与单位名称</w:t>
            </w:r>
          </w:p>
        </w:tc>
        <w:tc>
          <w:tcPr>
            <w:tcW w:w="4030" w:type="pct"/>
            <w:gridSpan w:val="2"/>
            <w:vAlign w:val="center"/>
          </w:tcPr>
          <w:p w14:paraId="31F214FE">
            <w:pPr>
              <w:pStyle w:val="14"/>
              <w:spacing w:before="120" w:beforeLines="50" w:after="120" w:afterLines="50" w:line="360" w:lineRule="auto"/>
              <w:jc w:val="both"/>
              <w:rPr>
                <w:rFonts w:hint="default" w:ascii="Times New Roman" w:hAnsi="Times New Roman" w:cs="Times New Roman"/>
                <w:lang w:val="en-US" w:eastAsia="zh-CN"/>
              </w:rPr>
            </w:pPr>
            <w:r>
              <w:rPr>
                <w:rFonts w:hint="eastAsia" w:ascii="Times New Roman" w:hAnsi="Times New Roman" w:cs="Times New Roman"/>
                <w:color w:val="auto"/>
                <w:lang w:eastAsia="zh-CN"/>
              </w:rPr>
              <w:t>南方基金、富国基金、嘉实基金、汇添富基金、广发基金、易方达基金、申万菱信基金、博时基金、</w:t>
            </w:r>
            <w:r>
              <w:rPr>
                <w:rFonts w:hint="eastAsia" w:ascii="Times New Roman" w:hAnsi="Times New Roman" w:cs="Times New Roman"/>
                <w:color w:val="auto"/>
                <w:lang w:val="en-US" w:eastAsia="zh-CN"/>
              </w:rPr>
              <w:t>银华基金、大成基金、南华基金、国投瑞银基金、</w:t>
            </w:r>
            <w:r>
              <w:rPr>
                <w:rFonts w:hint="eastAsia" w:ascii="Times New Roman" w:hAnsi="Times New Roman" w:cs="Times New Roman"/>
                <w:color w:val="auto"/>
                <w:lang w:eastAsia="zh-CN"/>
              </w:rPr>
              <w:t>交银施罗德基金、光大保德信基金、永赢基金、博道基金、朱雀基金、兴业基金、华安基金、万家基金、银河基金、国泰基金、中欧基金、华泰柏瑞</w:t>
            </w:r>
            <w:r>
              <w:rPr>
                <w:rFonts w:hint="eastAsia" w:ascii="Times New Roman" w:hAnsi="Times New Roman" w:cs="Times New Roman"/>
                <w:color w:val="auto"/>
                <w:lang w:val="en-US" w:eastAsia="zh-CN"/>
              </w:rPr>
              <w:t>基金</w:t>
            </w:r>
            <w:r>
              <w:rPr>
                <w:rFonts w:hint="eastAsia" w:ascii="Times New Roman" w:hAnsi="Times New Roman" w:cs="Times New Roman"/>
                <w:color w:val="auto"/>
                <w:lang w:eastAsia="zh-CN"/>
              </w:rPr>
              <w:t>、信达澳亚</w:t>
            </w:r>
            <w:r>
              <w:rPr>
                <w:rFonts w:hint="eastAsia" w:ascii="Times New Roman" w:hAnsi="Times New Roman" w:cs="Times New Roman"/>
                <w:color w:val="auto"/>
                <w:lang w:val="en-US" w:eastAsia="zh-CN"/>
              </w:rPr>
              <w:t>基金</w:t>
            </w:r>
            <w:r>
              <w:rPr>
                <w:rFonts w:hint="eastAsia" w:ascii="Times New Roman" w:hAnsi="Times New Roman" w:cs="Times New Roman"/>
                <w:color w:val="auto"/>
                <w:lang w:eastAsia="zh-CN"/>
              </w:rPr>
              <w:t>、中银基金、上银基金、中信保诚基金、海富通</w:t>
            </w:r>
            <w:r>
              <w:rPr>
                <w:rFonts w:hint="eastAsia" w:ascii="Times New Roman" w:hAnsi="Times New Roman" w:cs="Times New Roman"/>
                <w:color w:val="auto"/>
                <w:lang w:val="en-US" w:eastAsia="zh-CN"/>
              </w:rPr>
              <w:t>基金</w:t>
            </w:r>
            <w:r>
              <w:rPr>
                <w:rFonts w:hint="eastAsia" w:ascii="Times New Roman" w:hAnsi="Times New Roman" w:cs="Times New Roman"/>
                <w:color w:val="auto"/>
                <w:lang w:eastAsia="zh-CN"/>
              </w:rPr>
              <w:t>、长信基金、惠升基金、南华基金、合远基金、拾贝投资、域秀资本、海宸投资、鑫巢资本、招银理财、兴业银行资管、浙商资管、东方证券资管、兴证资管、光大资管、</w:t>
            </w:r>
            <w:r>
              <w:rPr>
                <w:rFonts w:hint="eastAsia" w:ascii="Times New Roman" w:hAnsi="Times New Roman" w:cs="Times New Roman"/>
                <w:color w:val="auto"/>
                <w:lang w:val="en-US" w:eastAsia="zh-CN"/>
              </w:rPr>
              <w:t>国泰海通</w:t>
            </w:r>
            <w:r>
              <w:rPr>
                <w:rFonts w:hint="eastAsia" w:ascii="Times New Roman" w:hAnsi="Times New Roman" w:cs="Times New Roman"/>
                <w:color w:val="auto"/>
                <w:lang w:eastAsia="zh-CN"/>
              </w:rPr>
              <w:t>资管、华泰资管、中信自营、人保资产、平安资产、泰康资产、长江养老、平安养老、太平养老、永诚保险、Point72、华西证券、国泰海通证券、中信建投证券、国金证券、国联民生证券、西部证券、</w:t>
            </w:r>
            <w:r>
              <w:rPr>
                <w:rFonts w:hint="eastAsia" w:ascii="Times New Roman" w:hAnsi="Times New Roman" w:cs="Times New Roman"/>
                <w:color w:val="auto"/>
                <w:lang w:val="en-US" w:eastAsia="zh-CN"/>
              </w:rPr>
              <w:t>野村东方国际</w:t>
            </w:r>
            <w:bookmarkStart w:id="2" w:name="_GoBack"/>
            <w:bookmarkEnd w:id="2"/>
            <w:r>
              <w:rPr>
                <w:rFonts w:hint="eastAsia" w:ascii="Times New Roman" w:hAnsi="Times New Roman" w:cs="Times New Roman"/>
                <w:color w:val="auto"/>
                <w:lang w:val="en-US" w:eastAsia="zh-CN"/>
              </w:rPr>
              <w:t>证券、华泰证券、银河证券</w:t>
            </w:r>
          </w:p>
        </w:tc>
      </w:tr>
      <w:tr w14:paraId="2B80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69" w:type="pct"/>
            <w:vAlign w:val="center"/>
          </w:tcPr>
          <w:p w14:paraId="6807D5DC">
            <w:pPr>
              <w:pStyle w:val="14"/>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30" w:type="pct"/>
            <w:gridSpan w:val="2"/>
            <w:vAlign w:val="center"/>
          </w:tcPr>
          <w:p w14:paraId="0FA441E6">
            <w:pPr>
              <w:pStyle w:val="14"/>
              <w:spacing w:before="113" w:line="220" w:lineRule="auto"/>
              <w:rPr>
                <w:rFonts w:ascii="Times New Roman" w:hAnsi="Times New Roman" w:cs="Times New Roman"/>
                <w:lang w:eastAsia="zh-CN"/>
              </w:rPr>
            </w:pP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5</w:t>
            </w:r>
            <w:r>
              <w:rPr>
                <w:rFonts w:ascii="Times New Roman" w:hAnsi="Times New Roman" w:cs="Times New Roman"/>
                <w:spacing w:val="-4"/>
              </w:rPr>
              <w:t>月</w:t>
            </w:r>
            <w:r>
              <w:rPr>
                <w:rFonts w:hint="eastAsia" w:ascii="Times New Roman" w:hAnsi="Times New Roman" w:cs="Times New Roman"/>
                <w:spacing w:val="-4"/>
                <w:lang w:val="en-US" w:eastAsia="zh-CN"/>
              </w:rPr>
              <w:t>9</w:t>
            </w:r>
            <w:r>
              <w:rPr>
                <w:rFonts w:ascii="Times New Roman" w:hAnsi="Times New Roman" w:cs="Times New Roman"/>
                <w:spacing w:val="-4"/>
                <w:lang w:eastAsia="zh-CN"/>
              </w:rPr>
              <w:t>日</w:t>
            </w:r>
            <w:r>
              <w:rPr>
                <w:rFonts w:hint="eastAsia" w:ascii="Times New Roman" w:hAnsi="Times New Roman" w:cs="Times New Roman"/>
                <w:spacing w:val="-4"/>
                <w:lang w:eastAsia="zh-CN"/>
              </w:rPr>
              <w:t>至</w:t>
            </w: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5</w:t>
            </w:r>
            <w:r>
              <w:rPr>
                <w:rFonts w:ascii="Times New Roman" w:hAnsi="Times New Roman" w:cs="Times New Roman"/>
                <w:spacing w:val="-4"/>
              </w:rPr>
              <w:t>月</w:t>
            </w:r>
            <w:r>
              <w:rPr>
                <w:rFonts w:ascii="Times New Roman" w:hAnsi="Times New Roman" w:cs="Times New Roman"/>
                <w:spacing w:val="-4"/>
                <w:lang w:eastAsia="zh-CN"/>
              </w:rPr>
              <w:t>3</w:t>
            </w:r>
            <w:r>
              <w:rPr>
                <w:rFonts w:hint="eastAsia" w:ascii="Times New Roman" w:hAnsi="Times New Roman" w:cs="Times New Roman"/>
                <w:spacing w:val="-4"/>
                <w:lang w:val="en-US" w:eastAsia="zh-CN"/>
              </w:rPr>
              <w:t>0</w:t>
            </w:r>
            <w:r>
              <w:rPr>
                <w:rFonts w:ascii="Times New Roman" w:hAnsi="Times New Roman" w:cs="Times New Roman"/>
                <w:spacing w:val="-4"/>
                <w:lang w:eastAsia="zh-CN"/>
              </w:rPr>
              <w:t>日</w:t>
            </w:r>
          </w:p>
        </w:tc>
      </w:tr>
      <w:tr w14:paraId="3298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69" w:type="pct"/>
            <w:vAlign w:val="center"/>
          </w:tcPr>
          <w:p w14:paraId="0946ECE6">
            <w:pPr>
              <w:pStyle w:val="14"/>
              <w:spacing w:before="117" w:line="224" w:lineRule="auto"/>
              <w:ind w:left="117"/>
              <w:jc w:val="center"/>
              <w:rPr>
                <w:rFonts w:ascii="Times New Roman" w:hAnsi="Times New Roman" w:cs="Times New Roman"/>
              </w:rPr>
            </w:pPr>
            <w:r>
              <w:rPr>
                <w:rFonts w:ascii="Times New Roman" w:hAnsi="Times New Roman" w:cs="Times New Roman"/>
                <w:spacing w:val="-3"/>
              </w:rPr>
              <w:t>地点</w:t>
            </w:r>
          </w:p>
        </w:tc>
        <w:tc>
          <w:tcPr>
            <w:tcW w:w="4030" w:type="pct"/>
            <w:gridSpan w:val="2"/>
            <w:vAlign w:val="center"/>
          </w:tcPr>
          <w:p w14:paraId="00FADA5F">
            <w:pPr>
              <w:pStyle w:val="14"/>
              <w:spacing w:before="117" w:line="219" w:lineRule="auto"/>
              <w:rPr>
                <w:rFonts w:ascii="Times New Roman" w:hAnsi="Times New Roman" w:cs="Times New Roman"/>
                <w:lang w:eastAsia="zh-CN"/>
              </w:rPr>
            </w:pPr>
            <w:r>
              <w:rPr>
                <w:rFonts w:hint="eastAsia" w:ascii="Times New Roman" w:hAnsi="Times New Roman" w:cs="Times New Roman"/>
                <w:lang w:eastAsia="zh-CN"/>
              </w:rPr>
              <w:t>公司会议室、</w:t>
            </w:r>
            <w:r>
              <w:rPr>
                <w:rFonts w:ascii="Times New Roman" w:hAnsi="Times New Roman" w:cs="Times New Roman"/>
                <w:lang w:eastAsia="zh-CN"/>
              </w:rPr>
              <w:t>电话会议</w:t>
            </w:r>
          </w:p>
        </w:tc>
      </w:tr>
      <w:tr w14:paraId="00C2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9" w:type="pct"/>
            <w:vAlign w:val="center"/>
          </w:tcPr>
          <w:p w14:paraId="11E0F2A3">
            <w:pPr>
              <w:pStyle w:val="14"/>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30" w:type="pct"/>
            <w:gridSpan w:val="2"/>
            <w:vAlign w:val="center"/>
          </w:tcPr>
          <w:p w14:paraId="3E617138">
            <w:pPr>
              <w:pStyle w:val="14"/>
              <w:spacing w:after="120" w:afterLines="50" w:line="360" w:lineRule="auto"/>
              <w:jc w:val="both"/>
              <w:rPr>
                <w:rFonts w:ascii="Times New Roman" w:hAnsi="Times New Roman" w:cs="Times New Roman"/>
                <w:lang w:eastAsia="zh-CN"/>
              </w:rPr>
            </w:pPr>
            <w:r>
              <w:rPr>
                <w:rFonts w:hint="eastAsia" w:ascii="Times New Roman" w:hAnsi="Times New Roman" w:cs="Times New Roman"/>
                <w:lang w:eastAsia="zh-CN"/>
              </w:rPr>
              <w:t xml:space="preserve">董事、总裁 </w:t>
            </w:r>
            <w:r>
              <w:rPr>
                <w:rFonts w:ascii="Times New Roman" w:hAnsi="Times New Roman" w:cs="Times New Roman"/>
                <w:lang w:eastAsia="zh-CN"/>
              </w:rPr>
              <w:t xml:space="preserve"> </w:t>
            </w:r>
            <w:r>
              <w:rPr>
                <w:rFonts w:hint="eastAsia" w:ascii="Times New Roman" w:hAnsi="Times New Roman" w:cs="Times New Roman"/>
                <w:lang w:eastAsia="zh-CN"/>
              </w:rPr>
              <w:t>李炜</w:t>
            </w:r>
          </w:p>
          <w:p w14:paraId="3282EE7C">
            <w:pPr>
              <w:pStyle w:val="14"/>
              <w:spacing w:after="120" w:afterLines="50" w:line="360" w:lineRule="auto"/>
              <w:jc w:val="both"/>
              <w:rPr>
                <w:rFonts w:ascii="Times New Roman" w:hAnsi="Times New Roman" w:cs="Times New Roman"/>
                <w:lang w:eastAsia="zh-CN"/>
              </w:rPr>
            </w:pPr>
            <w:r>
              <w:rPr>
                <w:rFonts w:hint="eastAsia" w:ascii="Times New Roman" w:hAnsi="Times New Roman" w:cs="Times New Roman"/>
                <w:lang w:eastAsia="zh-CN"/>
              </w:rPr>
              <w:t xml:space="preserve">财务负责人 </w:t>
            </w:r>
            <w:r>
              <w:rPr>
                <w:rFonts w:ascii="Times New Roman" w:hAnsi="Times New Roman" w:cs="Times New Roman"/>
                <w:lang w:eastAsia="zh-CN"/>
              </w:rPr>
              <w:t xml:space="preserve"> </w:t>
            </w:r>
            <w:r>
              <w:rPr>
                <w:rFonts w:hint="eastAsia" w:ascii="Times New Roman" w:hAnsi="Times New Roman" w:cs="Times New Roman"/>
                <w:lang w:eastAsia="zh-CN"/>
              </w:rPr>
              <w:t>郑丽非</w:t>
            </w:r>
          </w:p>
          <w:p w14:paraId="6A740A79">
            <w:pPr>
              <w:pStyle w:val="14"/>
              <w:spacing w:after="120" w:afterLines="50" w:line="360" w:lineRule="auto"/>
              <w:jc w:val="both"/>
              <w:rPr>
                <w:rFonts w:ascii="Times New Roman" w:hAnsi="Times New Roman" w:cs="Times New Roman"/>
                <w:lang w:eastAsia="zh-CN"/>
              </w:rPr>
            </w:pPr>
            <w:r>
              <w:rPr>
                <w:rFonts w:ascii="Times New Roman" w:hAnsi="Times New Roman" w:cs="Times New Roman"/>
                <w:lang w:eastAsia="zh-CN"/>
              </w:rPr>
              <w:t>董事会秘书   范 潇</w:t>
            </w:r>
          </w:p>
        </w:tc>
      </w:tr>
      <w:tr w14:paraId="77E3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0" w:hRule="atLeast"/>
          <w:jc w:val="center"/>
        </w:trPr>
        <w:tc>
          <w:tcPr>
            <w:tcW w:w="969" w:type="pct"/>
            <w:vAlign w:val="center"/>
          </w:tcPr>
          <w:p w14:paraId="314C7E04">
            <w:pPr>
              <w:pStyle w:val="14"/>
              <w:spacing w:before="116" w:line="313" w:lineRule="auto"/>
              <w:ind w:left="119" w:right="110"/>
              <w:jc w:val="center"/>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30" w:type="pct"/>
            <w:gridSpan w:val="2"/>
            <w:vAlign w:val="center"/>
          </w:tcPr>
          <w:p w14:paraId="69A5B441">
            <w:pPr>
              <w:pStyle w:val="14"/>
              <w:numPr>
                <w:ilvl w:val="0"/>
                <w:numId w:val="1"/>
              </w:numPr>
              <w:spacing w:before="120" w:beforeLines="50" w:after="120" w:afterLines="50" w:line="360" w:lineRule="auto"/>
              <w:jc w:val="both"/>
              <w:rPr>
                <w:rFonts w:hint="eastAsia" w:ascii="Times New Roman" w:hAnsi="Times New Roman" w:cs="Times New Roman"/>
                <w:b/>
                <w:color w:val="auto"/>
                <w:lang w:val="en-US" w:eastAsia="zh-CN"/>
              </w:rPr>
            </w:pPr>
            <w:r>
              <w:rPr>
                <w:rFonts w:hint="eastAsia" w:ascii="Times New Roman" w:hAnsi="Times New Roman" w:cs="Times New Roman"/>
                <w:b/>
                <w:color w:val="auto"/>
                <w:lang w:val="en-US" w:eastAsia="zh-CN"/>
              </w:rPr>
              <w:t>请介绍下公司在激光显示领域的最新情况。</w:t>
            </w:r>
          </w:p>
          <w:p w14:paraId="1342C663">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作为全球激光显示技术领导者，公司累计申请国内外专利2806项。Omdia数据显示，2024年海信激光电视全球出货量份额达到65.8%，位居全球第一。2025年一季度，激光显示产品整体销量同比增长超过30%，延续高增长趋势。</w:t>
            </w:r>
          </w:p>
          <w:p w14:paraId="0A5E0BD2">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月公司正式发布的探索X1系列，是公司激光显示技术十年集大成之作，首次将IMAX级别影院同源激光器与DMD芯片应用于家用场景，并实现包括全球首个纳米光谱选择屏Pro、激光电视全屏亮度突破1000nits、以及行业首个9.1.4声道音响系统等在内的“四大首创”，产品已获得行业唯一的家庭观影播放认证，进一步树立了“放映级”家庭影院新标准。</w:t>
            </w:r>
          </w:p>
          <w:p w14:paraId="020019D9">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同时推出的星光S1系列2026款，在技术普惠基础上，强化“健康护眼+影院级质感”优势，全系标配“行业唯一0有害蓝光”技术，并搭载与探索X1系列同款影院级激光器和芯片，拥有110% BT.2020电影工业级色域，为家庭影院爱好者带来极致影音的丰富选择。</w:t>
            </w:r>
          </w:p>
          <w:p w14:paraId="422FB509">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此次发布的新品将继续巩固公司在高端影音领域的领先地位，公司将持续以领先的激光显示技术推动产品迭代升级，同时强化在家庭消费和高端市场的竞争力。</w:t>
            </w:r>
          </w:p>
          <w:p w14:paraId="189D1C24">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Vidda品牌的战略定位及其市场表现如何？</w:t>
            </w:r>
          </w:p>
          <w:p w14:paraId="79A2F3CD">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答：Vidda坚持“科技化、品质化、年轻化”的品牌发展方向，是公司面向年轻消费群体的重要战略品牌，通过Vidda与海信、东芝实现多品牌协同，精准覆盖不同消费人群，提升整体市场渗透率。</w:t>
            </w:r>
          </w:p>
          <w:p w14:paraId="72BDB2AA">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近年来，Vidda在年轻市场持续突破，表现出强劲的成长潜力，已形成电视、投影多元化产品矩阵。奥维云网数据显示，2022-2024年，Vidda电视线上销量稳居行业前五。截至2025年5月25日，Vidda电视线上销量市占率达到12.5%，跃居行业第二。Vidda投影自2022年上市以来，连续3年同比增长。2024年C2系列三色激光投影上市后，Vidda投影5000元以上线上销额市占率行业第一。2025年3月发布的C3 Ultra被誉为“目前画质最好的家用智能投影”，在高端智能投影市场赢得高度认可。</w:t>
            </w:r>
          </w:p>
          <w:p w14:paraId="7EF35CD8">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根据京东618开门红战报，5月20日至21日，Vidda在京东平台夺得4K投影的销量和销售额双冠军，并包揽三色激光投影品类销售额总冠军。此次参与618“提前抢”的四款Vidda C2系列新品均为5月初发布，首销即获佳绩，充分体现消费者对Vidda在画质、亮度、护眼健康等维度技术优势的高度认可。</w:t>
            </w:r>
          </w:p>
          <w:p w14:paraId="30307D89">
            <w:pPr>
              <w:pStyle w:val="14"/>
              <w:numPr>
                <w:ilvl w:val="0"/>
                <w:numId w:val="1"/>
              </w:numPr>
              <w:spacing w:before="120" w:beforeLines="50" w:after="120" w:afterLines="50" w:line="360" w:lineRule="auto"/>
              <w:jc w:val="both"/>
              <w:rPr>
                <w:rFonts w:hint="eastAsia" w:ascii="Times New Roman" w:hAnsi="Times New Roman" w:cs="Times New Roman"/>
                <w:b/>
                <w:color w:val="auto"/>
                <w:lang w:val="en-US" w:eastAsia="zh-CN"/>
              </w:rPr>
            </w:pPr>
            <w:r>
              <w:rPr>
                <w:rFonts w:hint="eastAsia" w:ascii="Times New Roman" w:hAnsi="Times New Roman" w:cs="Times New Roman"/>
                <w:b/>
                <w:color w:val="auto"/>
                <w:lang w:val="en-US" w:eastAsia="zh-CN"/>
              </w:rPr>
              <w:t>近日公司和海信家电在杭州设立新公司，为什么将其落地在杭州？</w:t>
            </w:r>
          </w:p>
          <w:p w14:paraId="2BA10A92">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公司与海信家电在杭州共同出资设立新公司，该新公司业务范围涵盖智能机器人销售、工业机器人制造、人工智能应用软件开发、智能家庭消费设备制造。杭州具备完备的人工智能和机器人产业链基础，拥有大量优质AI算法公司、机器人核心部件供应商以及丰富的人才资源，公司将依托人工智能新质生产力，不断推进技术研发与产业协同，为用户创造更智能、更人性化的使用体验，同时也为公司持续打开成长空间、构筑长期竞争优势奠定坚实基础。</w:t>
            </w:r>
          </w:p>
          <w:p w14:paraId="06C12B1A">
            <w:pPr>
              <w:pStyle w:val="14"/>
              <w:numPr>
                <w:ilvl w:val="0"/>
                <w:numId w:val="1"/>
              </w:numPr>
              <w:spacing w:before="120" w:beforeLines="50" w:after="120" w:afterLines="50" w:line="360" w:lineRule="auto"/>
              <w:jc w:val="both"/>
              <w:rPr>
                <w:rFonts w:hint="eastAsia" w:ascii="Times New Roman" w:hAnsi="Times New Roman" w:cs="Times New Roman"/>
                <w:b/>
                <w:color w:val="auto"/>
                <w:lang w:val="en-US" w:eastAsia="zh-CN"/>
              </w:rPr>
            </w:pPr>
            <w:r>
              <w:rPr>
                <w:rFonts w:hint="eastAsia" w:ascii="Times New Roman" w:hAnsi="Times New Roman" w:cs="Times New Roman"/>
                <w:b/>
                <w:color w:val="auto"/>
                <w:lang w:val="en-US" w:eastAsia="zh-CN"/>
              </w:rPr>
              <w:t>请问内销市场公司在高端大屏电视市场的表现如何？</w:t>
            </w:r>
          </w:p>
          <w:p w14:paraId="1BBA9543">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答：根据奥维云网全渠道月度监测数据显示，2025年1-3月，海信系电视国内的销售量占有率26.59%、销售额占有率30.60%，其中，海信Mini LED销售量占有率为36.4%、海信100+大屏电视销售量占有率为37.8%、万元以上高端市场零售量占有率为36.6%，均位列行业第一，进一步巩固了海信在高端大屏电视市场的领跑地位。</w:t>
            </w:r>
          </w:p>
          <w:p w14:paraId="3E10CE67">
            <w:pPr>
              <w:pStyle w:val="14"/>
              <w:numPr>
                <w:ilvl w:val="0"/>
                <w:numId w:val="1"/>
              </w:numPr>
              <w:spacing w:before="120" w:beforeLines="50" w:after="120" w:afterLines="50" w:line="360" w:lineRule="auto"/>
              <w:jc w:val="both"/>
              <w:rPr>
                <w:rFonts w:hint="eastAsia" w:ascii="Times New Roman" w:hAnsi="Times New Roman" w:cs="Times New Roman"/>
                <w:b/>
                <w:color w:val="auto"/>
                <w:lang w:val="en-US" w:eastAsia="zh-CN"/>
              </w:rPr>
            </w:pPr>
            <w:r>
              <w:rPr>
                <w:rFonts w:hint="eastAsia" w:ascii="Times New Roman" w:hAnsi="Times New Roman" w:cs="Times New Roman"/>
                <w:b/>
                <w:color w:val="auto"/>
                <w:lang w:val="en-US" w:eastAsia="zh-CN"/>
              </w:rPr>
              <w:t>面对激烈的竞争，公司对于提升市场竞争力有何规划？</w:t>
            </w:r>
          </w:p>
          <w:p w14:paraId="2B18DA84">
            <w:pPr>
              <w:pStyle w:val="14"/>
              <w:spacing w:before="120" w:beforeLines="50" w:after="120" w:afterLines="50" w:line="360" w:lineRule="auto"/>
              <w:ind w:firstLine="480" w:firstLineChars="200"/>
              <w:jc w:val="both"/>
              <w:rPr>
                <w:rFonts w:hint="eastAsia" w:ascii="Times New Roman" w:hAnsi="Times New Roman" w:cs="Times New Roman"/>
                <w:color w:val="auto"/>
                <w:lang w:eastAsia="zh-CN"/>
              </w:rPr>
            </w:pPr>
            <w:r>
              <w:rPr>
                <w:rFonts w:hint="default" w:ascii="Times New Roman" w:hAnsi="Times New Roman" w:cs="Times New Roman"/>
                <w:color w:val="auto"/>
                <w:lang w:val="en-US" w:eastAsia="zh-CN"/>
              </w:rPr>
              <w:t>答：公司通过坚定不移推进全球化布局与高端化战略，全面推进数字化、智能化转型，逐步构建具有国际竞争力的全球化运营体系，在全球市场的竞争优势明显提升。同时，公司积极开展并购整合，打造可复制的组织能力，有效支撑短期效益提升的同时更为未来持续发展和领先奠定了坚实基础。未来，公司将把握大屏化趋势，继续坚持高端化战略，在全球化的品牌和运营体系、技术创新与产品研发、产业协同布局等方面坚定投入和发展，继续推进全链路数字化转型，创新升级业务模式，迭代提升产品竞争力，提升运营效率，完善供应链布局，不断提升市场份额</w:t>
            </w:r>
            <w:r>
              <w:rPr>
                <w:rFonts w:hint="eastAsia" w:ascii="Times New Roman" w:hAnsi="Times New Roman" w:cs="Times New Roman"/>
                <w:color w:val="auto"/>
                <w:lang w:val="en-US" w:eastAsia="zh-CN"/>
              </w:rPr>
              <w:t>和盈利能力，保持市场竞争力稳步提升。</w:t>
            </w:r>
          </w:p>
        </w:tc>
      </w:tr>
    </w:tbl>
    <w:p w14:paraId="7D3A022D">
      <w:pPr>
        <w:jc w:val="center"/>
        <w:rPr>
          <w:rFonts w:ascii="Times New Roman" w:hAnsi="Times New Roman" w:cs="Times New Roman"/>
          <w:lang w:eastAsia="zh-CN"/>
        </w:rPr>
      </w:pPr>
    </w:p>
    <w:sectPr>
      <w:pgSz w:w="11907" w:h="16839"/>
      <w:pgMar w:top="737" w:right="1694" w:bottom="737" w:left="16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066"/>
    <w:multiLevelType w:val="multilevel"/>
    <w:tmpl w:val="3F75306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64B0"/>
    <w:rsid w:val="00445ED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18B5"/>
    <w:rsid w:val="00503B28"/>
    <w:rsid w:val="00511139"/>
    <w:rsid w:val="005155C1"/>
    <w:rsid w:val="005203B6"/>
    <w:rsid w:val="005242AD"/>
    <w:rsid w:val="005436D0"/>
    <w:rsid w:val="00555B77"/>
    <w:rsid w:val="0057355D"/>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7818"/>
    <w:rsid w:val="00897825"/>
    <w:rsid w:val="008A4DB6"/>
    <w:rsid w:val="008B4BD6"/>
    <w:rsid w:val="008B68E8"/>
    <w:rsid w:val="008C224B"/>
    <w:rsid w:val="008C24E6"/>
    <w:rsid w:val="008C2D1A"/>
    <w:rsid w:val="008C4D9D"/>
    <w:rsid w:val="008D5C2C"/>
    <w:rsid w:val="008D6412"/>
    <w:rsid w:val="008D768F"/>
    <w:rsid w:val="008F0267"/>
    <w:rsid w:val="00900F18"/>
    <w:rsid w:val="00912E03"/>
    <w:rsid w:val="0091785A"/>
    <w:rsid w:val="009301CB"/>
    <w:rsid w:val="0093392E"/>
    <w:rsid w:val="00935084"/>
    <w:rsid w:val="009445BA"/>
    <w:rsid w:val="009570DB"/>
    <w:rsid w:val="00963F33"/>
    <w:rsid w:val="009715D6"/>
    <w:rsid w:val="00971B3B"/>
    <w:rsid w:val="0098378D"/>
    <w:rsid w:val="00985409"/>
    <w:rsid w:val="00987326"/>
    <w:rsid w:val="00994859"/>
    <w:rsid w:val="009A1671"/>
    <w:rsid w:val="009A66CD"/>
    <w:rsid w:val="009A7ED2"/>
    <w:rsid w:val="009B2534"/>
    <w:rsid w:val="009B5B12"/>
    <w:rsid w:val="009B7B0F"/>
    <w:rsid w:val="009C1127"/>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B16D06"/>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5771"/>
    <w:rsid w:val="00C012C4"/>
    <w:rsid w:val="00C04086"/>
    <w:rsid w:val="00C06DF6"/>
    <w:rsid w:val="00C12561"/>
    <w:rsid w:val="00C21C58"/>
    <w:rsid w:val="00C22DFC"/>
    <w:rsid w:val="00C235CF"/>
    <w:rsid w:val="00C248D5"/>
    <w:rsid w:val="00C3085F"/>
    <w:rsid w:val="00C330F9"/>
    <w:rsid w:val="00C54CCF"/>
    <w:rsid w:val="00C55CE5"/>
    <w:rsid w:val="00C721DD"/>
    <w:rsid w:val="00C80C4A"/>
    <w:rsid w:val="00C8294D"/>
    <w:rsid w:val="00C92ECE"/>
    <w:rsid w:val="00C9419A"/>
    <w:rsid w:val="00C95359"/>
    <w:rsid w:val="00CA5D74"/>
    <w:rsid w:val="00CB6B05"/>
    <w:rsid w:val="00CB7634"/>
    <w:rsid w:val="00CB78FF"/>
    <w:rsid w:val="00CC30E7"/>
    <w:rsid w:val="00CC6824"/>
    <w:rsid w:val="00CD4A4E"/>
    <w:rsid w:val="00D05F96"/>
    <w:rsid w:val="00D0641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B2569"/>
    <w:rsid w:val="00EC2BB0"/>
    <w:rsid w:val="00F01655"/>
    <w:rsid w:val="00F04FBD"/>
    <w:rsid w:val="00F066C2"/>
    <w:rsid w:val="00F078B0"/>
    <w:rsid w:val="00F1678C"/>
    <w:rsid w:val="00F16B8C"/>
    <w:rsid w:val="00F27911"/>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36A7762"/>
    <w:rsid w:val="037C716B"/>
    <w:rsid w:val="03930A79"/>
    <w:rsid w:val="03E219EE"/>
    <w:rsid w:val="04137DFA"/>
    <w:rsid w:val="066C1739"/>
    <w:rsid w:val="076C7F34"/>
    <w:rsid w:val="08A70B11"/>
    <w:rsid w:val="091A424A"/>
    <w:rsid w:val="09671F72"/>
    <w:rsid w:val="09E10052"/>
    <w:rsid w:val="09FB7366"/>
    <w:rsid w:val="0B15662E"/>
    <w:rsid w:val="0CDA7707"/>
    <w:rsid w:val="0F8B28D2"/>
    <w:rsid w:val="12AA1929"/>
    <w:rsid w:val="1384217A"/>
    <w:rsid w:val="150D0E85"/>
    <w:rsid w:val="155D48B9"/>
    <w:rsid w:val="160E6673"/>
    <w:rsid w:val="1708666A"/>
    <w:rsid w:val="19037FE5"/>
    <w:rsid w:val="19C24C2F"/>
    <w:rsid w:val="19F33BB6"/>
    <w:rsid w:val="1A8D7508"/>
    <w:rsid w:val="1AC437A4"/>
    <w:rsid w:val="1B5A59F0"/>
    <w:rsid w:val="1CFA16FF"/>
    <w:rsid w:val="1E000793"/>
    <w:rsid w:val="1F182311"/>
    <w:rsid w:val="1F5844BB"/>
    <w:rsid w:val="1F69491A"/>
    <w:rsid w:val="1F980D5B"/>
    <w:rsid w:val="208D2876"/>
    <w:rsid w:val="210B63F6"/>
    <w:rsid w:val="211D3DA7"/>
    <w:rsid w:val="21FB3F4F"/>
    <w:rsid w:val="22AB6B3F"/>
    <w:rsid w:val="23E00F22"/>
    <w:rsid w:val="24B0361B"/>
    <w:rsid w:val="267F67D1"/>
    <w:rsid w:val="2B822FEC"/>
    <w:rsid w:val="2BDA654F"/>
    <w:rsid w:val="2CA15303"/>
    <w:rsid w:val="2E7B3D35"/>
    <w:rsid w:val="2EA927A9"/>
    <w:rsid w:val="2EAB0AAB"/>
    <w:rsid w:val="2F991CA5"/>
    <w:rsid w:val="315076E8"/>
    <w:rsid w:val="35E674FA"/>
    <w:rsid w:val="3652180C"/>
    <w:rsid w:val="378659C1"/>
    <w:rsid w:val="37922808"/>
    <w:rsid w:val="38F60B75"/>
    <w:rsid w:val="3A2B2AA0"/>
    <w:rsid w:val="3C3519B4"/>
    <w:rsid w:val="3DC6320C"/>
    <w:rsid w:val="3EFB0C93"/>
    <w:rsid w:val="3F7B000C"/>
    <w:rsid w:val="3FBDE036"/>
    <w:rsid w:val="41B45A71"/>
    <w:rsid w:val="437E6337"/>
    <w:rsid w:val="44537B7B"/>
    <w:rsid w:val="45B846D6"/>
    <w:rsid w:val="47F008D6"/>
    <w:rsid w:val="48C46704"/>
    <w:rsid w:val="492D2391"/>
    <w:rsid w:val="49D62A28"/>
    <w:rsid w:val="49E8450A"/>
    <w:rsid w:val="4A6E0CD3"/>
    <w:rsid w:val="4AD60806"/>
    <w:rsid w:val="4BF74ED8"/>
    <w:rsid w:val="4C013FBC"/>
    <w:rsid w:val="4C7402D7"/>
    <w:rsid w:val="4C8B22A5"/>
    <w:rsid w:val="4F0F2539"/>
    <w:rsid w:val="4F1B7FA7"/>
    <w:rsid w:val="4F7C497F"/>
    <w:rsid w:val="529B7BC9"/>
    <w:rsid w:val="53E06252"/>
    <w:rsid w:val="55F10BEA"/>
    <w:rsid w:val="5C2B2A4F"/>
    <w:rsid w:val="5CEB76B4"/>
    <w:rsid w:val="5D464BE3"/>
    <w:rsid w:val="5DE30E18"/>
    <w:rsid w:val="5F3D2D8C"/>
    <w:rsid w:val="5FF39DF9"/>
    <w:rsid w:val="60B13450"/>
    <w:rsid w:val="60FE2644"/>
    <w:rsid w:val="625E7607"/>
    <w:rsid w:val="63021D41"/>
    <w:rsid w:val="63057A83"/>
    <w:rsid w:val="63AD76F5"/>
    <w:rsid w:val="64F551FD"/>
    <w:rsid w:val="657F3B1C"/>
    <w:rsid w:val="660D1128"/>
    <w:rsid w:val="66553BDD"/>
    <w:rsid w:val="67397F49"/>
    <w:rsid w:val="677671A1"/>
    <w:rsid w:val="691A4E3E"/>
    <w:rsid w:val="6E2D7E8C"/>
    <w:rsid w:val="6E712470"/>
    <w:rsid w:val="6E7B6E4B"/>
    <w:rsid w:val="6F024E2E"/>
    <w:rsid w:val="6F2A4AF9"/>
    <w:rsid w:val="722B4B4E"/>
    <w:rsid w:val="72E5624E"/>
    <w:rsid w:val="752244C4"/>
    <w:rsid w:val="75285696"/>
    <w:rsid w:val="770045CD"/>
    <w:rsid w:val="77212C85"/>
    <w:rsid w:val="77534E09"/>
    <w:rsid w:val="775F515F"/>
    <w:rsid w:val="796B2DFE"/>
    <w:rsid w:val="7AB67B89"/>
    <w:rsid w:val="7CE26037"/>
    <w:rsid w:val="7DD30D3F"/>
    <w:rsid w:val="7E1153D8"/>
    <w:rsid w:val="7EAB7A4E"/>
    <w:rsid w:val="CFFA9BEF"/>
    <w:rsid w:val="DFDBE67B"/>
    <w:rsid w:val="F5A7D12F"/>
    <w:rsid w:val="FFDF8FA6"/>
    <w:rsid w:val="FFEFF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alloon Text"/>
    <w:basedOn w:val="1"/>
    <w:link w:val="21"/>
    <w:qFormat/>
    <w:uiPriority w:val="0"/>
    <w:rPr>
      <w:sz w:val="18"/>
      <w:szCs w:val="18"/>
    </w:rPr>
  </w:style>
  <w:style w:type="paragraph" w:styleId="4">
    <w:name w:val="footer"/>
    <w:basedOn w:val="1"/>
    <w:link w:val="17"/>
    <w:qFormat/>
    <w:uiPriority w:val="0"/>
    <w:pPr>
      <w:tabs>
        <w:tab w:val="center" w:pos="4153"/>
        <w:tab w:val="right" w:pos="8306"/>
      </w:tabs>
    </w:pPr>
    <w:rPr>
      <w:sz w:val="18"/>
      <w:szCs w:val="18"/>
    </w:rPr>
  </w:style>
  <w:style w:type="paragraph" w:styleId="5">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7">
    <w:name w:val="Normal (Web)"/>
    <w:basedOn w:val="1"/>
    <w:qFormat/>
    <w:uiPriority w:val="99"/>
    <w:pPr>
      <w:widowControl w:val="0"/>
      <w:kinsoku/>
      <w:autoSpaceDE/>
      <w:autoSpaceDN/>
      <w:adjustRightInd/>
      <w:snapToGrid/>
      <w:jc w:val="both"/>
      <w:textAlignment w:val="auto"/>
    </w:pPr>
    <w:rPr>
      <w:rFonts w:asciiTheme="minorHAnsi" w:hAnsiTheme="minorHAnsi" w:eastAsiaTheme="minorEastAsia" w:cstheme="minorBidi"/>
      <w:snapToGrid/>
      <w:color w:val="auto"/>
      <w:kern w:val="2"/>
      <w:sz w:val="24"/>
      <w:szCs w:val="24"/>
      <w:lang w:eastAsia="zh-CN"/>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rPr>
  </w:style>
  <w:style w:type="paragraph" w:styleId="15">
    <w:name w:val="List Paragraph"/>
    <w:basedOn w:val="1"/>
    <w:qFormat/>
    <w:uiPriority w:val="34"/>
    <w:pPr>
      <w:ind w:firstLine="420" w:firstLineChars="200"/>
    </w:pPr>
  </w:style>
  <w:style w:type="character" w:customStyle="1" w:styleId="16">
    <w:name w:val="页眉 字符"/>
    <w:basedOn w:val="11"/>
    <w:link w:val="5"/>
    <w:qFormat/>
    <w:uiPriority w:val="0"/>
    <w:rPr>
      <w:rFonts w:ascii="Arial" w:hAnsi="Arial" w:eastAsia="Arial" w:cs="Arial"/>
      <w:snapToGrid w:val="0"/>
      <w:color w:val="000000"/>
      <w:sz w:val="18"/>
      <w:szCs w:val="18"/>
      <w:lang w:eastAsia="en-US"/>
    </w:rPr>
  </w:style>
  <w:style w:type="character" w:customStyle="1" w:styleId="17">
    <w:name w:val="页脚 字符"/>
    <w:basedOn w:val="11"/>
    <w:link w:val="4"/>
    <w:qFormat/>
    <w:uiPriority w:val="0"/>
    <w:rPr>
      <w:rFonts w:ascii="Arial" w:hAnsi="Arial" w:eastAsia="Arial" w:cs="Arial"/>
      <w:snapToGrid w:val="0"/>
      <w:color w:val="000000"/>
      <w:sz w:val="18"/>
      <w:szCs w:val="18"/>
      <w:lang w:eastAsia="en-US"/>
    </w:rPr>
  </w:style>
  <w:style w:type="paragraph" w:customStyle="1" w:styleId="18">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19">
    <w:name w:val="批注文字 字符"/>
    <w:basedOn w:val="11"/>
    <w:link w:val="2"/>
    <w:semiHidden/>
    <w:qFormat/>
    <w:uiPriority w:val="99"/>
    <w:rPr>
      <w:rFonts w:ascii="Arial" w:hAnsi="Arial" w:eastAsia="Arial" w:cs="Arial"/>
      <w:snapToGrid w:val="0"/>
      <w:color w:val="000000"/>
      <w:sz w:val="21"/>
      <w:szCs w:val="21"/>
      <w:lang w:eastAsia="en-US"/>
    </w:rPr>
  </w:style>
  <w:style w:type="character" w:customStyle="1" w:styleId="20">
    <w:name w:val="批注主题 字符"/>
    <w:basedOn w:val="19"/>
    <w:link w:val="8"/>
    <w:qFormat/>
    <w:uiPriority w:val="0"/>
    <w:rPr>
      <w:rFonts w:ascii="Arial" w:hAnsi="Arial" w:eastAsia="Arial" w:cs="Arial"/>
      <w:b/>
      <w:bCs/>
      <w:snapToGrid w:val="0"/>
      <w:color w:val="000000"/>
      <w:sz w:val="21"/>
      <w:szCs w:val="21"/>
      <w:lang w:eastAsia="en-US"/>
    </w:rPr>
  </w:style>
  <w:style w:type="character" w:customStyle="1" w:styleId="21">
    <w:name w:val="批注框文本 字符"/>
    <w:basedOn w:val="11"/>
    <w:link w:val="3"/>
    <w:qFormat/>
    <w:uiPriority w:val="0"/>
    <w:rPr>
      <w:rFonts w:ascii="Arial" w:hAnsi="Arial" w:eastAsia="Arial" w:cs="Arial"/>
      <w:snapToGrid w:val="0"/>
      <w:color w:val="000000"/>
      <w:sz w:val="18"/>
      <w:szCs w:val="18"/>
      <w:lang w:eastAsia="en-US"/>
    </w:rPr>
  </w:style>
  <w:style w:type="paragraph" w:customStyle="1" w:styleId="22">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3">
    <w:name w:val="修订3"/>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0B19-EEC4-43BE-8B41-AA0BAD13777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2056</Words>
  <Characters>2254</Characters>
  <Lines>17</Lines>
  <Paragraphs>5</Paragraphs>
  <TotalTime>9</TotalTime>
  <ScaleCrop>false</ScaleCrop>
  <LinksUpToDate>false</LinksUpToDate>
  <CharactersWithSpaces>2335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2025-04-30T07:42:00Z</dcterms:created>
  <dc:creator>Data</dc:creator>
  <cp:lastModifiedBy>郝艳芳</cp:lastModifiedBy>
  <dcterms:modified xsi:type="dcterms:W3CDTF">2025-05-30T07:44:52Z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2052-12.1.0.21171</vt:lpwstr>
  </property>
  <property fmtid="{D5CDD505-2E9C-101B-9397-08002B2CF9AE}" pid="5" name="ICV">
    <vt:lpwstr>71051276D6694E84B22590D0AD56E5BB_13</vt:lpwstr>
  </property>
  <property fmtid="{D5CDD505-2E9C-101B-9397-08002B2CF9AE}" pid="6" name="KSOTemplateDocerSaveRecord">
    <vt:lpwstr>eyJoZGlkIjoiNzU0YWEzZTBmNGEwMDVhOTBmODg2ZGQ4OWJjNTJiMGEiLCJ1c2VySWQiOiIzOTkwMDU2MjcifQ==</vt:lpwstr>
  </property>
</Properties>
</file>