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C745F">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广东天安新材料</w:t>
      </w:r>
      <w:r>
        <w:rPr>
          <w:rFonts w:ascii="宋体" w:hAnsi="宋体"/>
          <w:b/>
          <w:bCs/>
          <w:iCs/>
          <w:color w:val="FF0000"/>
          <w:sz w:val="28"/>
          <w:szCs w:val="24"/>
        </w:rPr>
        <w:t>股份有限公司</w:t>
      </w:r>
    </w:p>
    <w:p w14:paraId="2F692872">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投资者关系活动记录表</w:t>
      </w:r>
    </w:p>
    <w:p w14:paraId="70415F46">
      <w:pPr>
        <w:spacing w:line="400" w:lineRule="exact"/>
        <w:rPr>
          <w:rFonts w:hint="eastAsia" w:ascii="宋体" w:hAnsi="宋体" w:eastAsia="宋体"/>
          <w:bCs/>
          <w:iCs/>
          <w:sz w:val="24"/>
          <w:szCs w:val="24"/>
          <w:lang w:eastAsia="zh-CN"/>
        </w:rPr>
      </w:pPr>
      <w:r>
        <w:rPr>
          <w:rFonts w:hint="eastAsia" w:ascii="宋体" w:hAnsi="宋体"/>
          <w:bCs/>
          <w:iCs/>
          <w:sz w:val="24"/>
          <w:szCs w:val="24"/>
        </w:rPr>
        <w:t xml:space="preserve">                                                   编号：</w:t>
      </w:r>
      <w:r>
        <w:rPr>
          <w:rFonts w:ascii="宋体" w:hAnsi="宋体"/>
          <w:bCs/>
          <w:iCs/>
          <w:sz w:val="24"/>
          <w:szCs w:val="24"/>
        </w:rPr>
        <w:t>TA</w:t>
      </w:r>
      <w:r>
        <w:rPr>
          <w:rFonts w:hint="eastAsia" w:ascii="宋体" w:hAnsi="宋体"/>
          <w:bCs/>
          <w:iCs/>
          <w:sz w:val="24"/>
          <w:szCs w:val="24"/>
        </w:rPr>
        <w:t>2025-00</w:t>
      </w:r>
      <w:r>
        <w:rPr>
          <w:rFonts w:hint="eastAsia" w:ascii="宋体" w:hAnsi="宋体"/>
          <w:bCs/>
          <w:iCs/>
          <w:sz w:val="24"/>
          <w:szCs w:val="24"/>
          <w:lang w:val="en-US" w:eastAsia="zh-CN"/>
        </w:rPr>
        <w:t>3</w:t>
      </w:r>
    </w:p>
    <w:tbl>
      <w:tblPr>
        <w:tblStyle w:val="6"/>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5943"/>
      </w:tblGrid>
      <w:tr w14:paraId="09D0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16F0F3AC">
            <w:pPr>
              <w:spacing w:line="480" w:lineRule="atLeast"/>
              <w:rPr>
                <w:rFonts w:hint="eastAsia" w:ascii="宋体" w:hAnsi="宋体"/>
                <w:b/>
                <w:bCs/>
                <w:iCs/>
                <w:sz w:val="24"/>
                <w:szCs w:val="24"/>
              </w:rPr>
            </w:pPr>
            <w:r>
              <w:rPr>
                <w:rFonts w:hint="eastAsia" w:ascii="宋体" w:hAnsi="宋体"/>
                <w:b/>
                <w:bCs/>
                <w:iCs/>
                <w:sz w:val="24"/>
                <w:szCs w:val="24"/>
              </w:rPr>
              <w:t>投资者关系活动类别</w:t>
            </w:r>
          </w:p>
          <w:p w14:paraId="34C0CF0C">
            <w:pPr>
              <w:spacing w:line="480" w:lineRule="atLeast"/>
              <w:rPr>
                <w:rFonts w:hint="eastAsia" w:ascii="宋体" w:hAnsi="宋体"/>
                <w:b/>
                <w:bCs/>
                <w:iCs/>
                <w:sz w:val="24"/>
                <w:szCs w:val="24"/>
              </w:rPr>
            </w:pPr>
          </w:p>
        </w:tc>
        <w:tc>
          <w:tcPr>
            <w:tcW w:w="5943" w:type="dxa"/>
            <w:shd w:val="clear" w:color="auto" w:fill="auto"/>
          </w:tcPr>
          <w:p w14:paraId="63D3D6B9">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50E16F77">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737E1686">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sz w:val="24"/>
                <w:szCs w:val="24"/>
                <w:lang w:val="en-US" w:eastAsia="zh-CN"/>
              </w:rPr>
              <w:t xml:space="preserve"> </w:t>
            </w:r>
            <w:r>
              <w:rPr>
                <w:rFonts w:hint="eastAsia" w:ascii="宋体" w:hAnsi="宋体"/>
                <w:sz w:val="24"/>
                <w:szCs w:val="24"/>
              </w:rPr>
              <w:t xml:space="preserve">        □路演活动</w:t>
            </w:r>
          </w:p>
          <w:p w14:paraId="4732FAE8">
            <w:pPr>
              <w:tabs>
                <w:tab w:val="left" w:pos="2805"/>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现场参观</w:t>
            </w:r>
            <w:r>
              <w:rPr>
                <w:rFonts w:hint="eastAsia" w:ascii="宋体" w:hAnsi="宋体"/>
                <w:bCs/>
                <w:iCs/>
                <w:sz w:val="24"/>
                <w:szCs w:val="24"/>
              </w:rPr>
              <w:t xml:space="preserve">            √其他</w:t>
            </w:r>
          </w:p>
        </w:tc>
      </w:tr>
      <w:tr w14:paraId="051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1A7BBD2E">
            <w:pPr>
              <w:spacing w:line="480" w:lineRule="atLeast"/>
              <w:rPr>
                <w:rFonts w:hint="eastAsia" w:ascii="宋体" w:hAnsi="宋体"/>
                <w:b/>
                <w:bCs/>
                <w:iCs/>
                <w:sz w:val="24"/>
                <w:szCs w:val="24"/>
              </w:rPr>
            </w:pPr>
            <w:r>
              <w:rPr>
                <w:rFonts w:hint="eastAsia" w:ascii="宋体" w:hAnsi="宋体"/>
                <w:b/>
                <w:bCs/>
                <w:iCs/>
                <w:sz w:val="24"/>
                <w:szCs w:val="24"/>
              </w:rPr>
              <w:t>参与单位名称</w:t>
            </w:r>
          </w:p>
        </w:tc>
        <w:tc>
          <w:tcPr>
            <w:tcW w:w="5943" w:type="dxa"/>
            <w:shd w:val="clear" w:color="auto" w:fill="auto"/>
          </w:tcPr>
          <w:p w14:paraId="18155306">
            <w:pPr>
              <w:spacing w:line="480" w:lineRule="atLeas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排名不分先后</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申万宏源</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东吴证券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招商证券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万家基金</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银河基金</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兴证全球</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申万菱信</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光大保德信</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汇丰晋信</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金鹰基金</w:t>
            </w:r>
            <w:r>
              <w:rPr>
                <w:rFonts w:hint="eastAsia" w:asciiTheme="minorEastAsia" w:hAnsiTheme="minorEastAsia" w:eastAsiaTheme="minorEastAsia"/>
                <w:sz w:val="24"/>
                <w:szCs w:val="24"/>
                <w:lang w:eastAsia="zh-CN"/>
              </w:rPr>
              <w:t>、财通证券</w:t>
            </w:r>
          </w:p>
        </w:tc>
      </w:tr>
      <w:tr w14:paraId="3E71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07EB9D8B">
            <w:pPr>
              <w:spacing w:line="480" w:lineRule="atLeast"/>
              <w:rPr>
                <w:rFonts w:hint="eastAsia" w:ascii="宋体" w:hAnsi="宋体"/>
                <w:b/>
                <w:bCs/>
                <w:iCs/>
                <w:sz w:val="24"/>
                <w:szCs w:val="24"/>
              </w:rPr>
            </w:pPr>
            <w:r>
              <w:rPr>
                <w:rFonts w:hint="eastAsia" w:ascii="宋体" w:hAnsi="宋体"/>
                <w:b/>
                <w:bCs/>
                <w:iCs/>
                <w:sz w:val="24"/>
                <w:szCs w:val="24"/>
              </w:rPr>
              <w:t>时间</w:t>
            </w:r>
          </w:p>
        </w:tc>
        <w:tc>
          <w:tcPr>
            <w:tcW w:w="5943" w:type="dxa"/>
            <w:shd w:val="clear" w:color="auto" w:fill="auto"/>
          </w:tcPr>
          <w:p w14:paraId="750791CB">
            <w:pPr>
              <w:spacing w:line="480" w:lineRule="atLeast"/>
              <w:rPr>
                <w:rFonts w:hint="eastAsia" w:ascii="宋体" w:hAnsi="宋体"/>
                <w:bCs/>
                <w:iCs/>
                <w:sz w:val="24"/>
                <w:szCs w:val="24"/>
              </w:rPr>
            </w:pPr>
            <w:r>
              <w:rPr>
                <w:rFonts w:hint="eastAsia" w:ascii="宋体" w:hAnsi="宋体"/>
                <w:bCs/>
                <w:iCs/>
                <w:sz w:val="24"/>
                <w:szCs w:val="24"/>
              </w:rPr>
              <w:t>2025年</w:t>
            </w:r>
            <w:r>
              <w:rPr>
                <w:rFonts w:hint="eastAsia" w:ascii="宋体" w:hAnsi="宋体"/>
                <w:bCs/>
                <w:iCs/>
                <w:sz w:val="24"/>
                <w:szCs w:val="24"/>
                <w:lang w:val="en-US" w:eastAsia="zh-CN"/>
              </w:rPr>
              <w:t>5</w:t>
            </w:r>
            <w:r>
              <w:rPr>
                <w:rFonts w:hint="eastAsia" w:ascii="宋体" w:hAnsi="宋体"/>
                <w:bCs/>
                <w:iCs/>
                <w:sz w:val="24"/>
                <w:szCs w:val="24"/>
              </w:rPr>
              <w:t>月</w:t>
            </w:r>
            <w:r>
              <w:rPr>
                <w:rFonts w:hint="eastAsia" w:ascii="宋体" w:hAnsi="宋体"/>
                <w:bCs/>
                <w:iCs/>
                <w:sz w:val="24"/>
                <w:szCs w:val="24"/>
                <w:lang w:val="en-US" w:eastAsia="zh-CN"/>
              </w:rPr>
              <w:t>27</w:t>
            </w:r>
            <w:bookmarkStart w:id="0" w:name="_GoBack"/>
            <w:bookmarkEnd w:id="0"/>
            <w:r>
              <w:rPr>
                <w:rFonts w:hint="eastAsia" w:ascii="宋体" w:hAnsi="宋体"/>
                <w:bCs/>
                <w:iCs/>
                <w:sz w:val="24"/>
                <w:szCs w:val="24"/>
              </w:rPr>
              <w:t>日</w:t>
            </w:r>
            <w:r>
              <w:rPr>
                <w:rFonts w:hint="eastAsia" w:ascii="宋体" w:hAnsi="宋体"/>
                <w:bCs/>
                <w:iCs/>
                <w:sz w:val="24"/>
                <w:szCs w:val="24"/>
                <w:lang w:val="en-US" w:eastAsia="zh-CN"/>
              </w:rPr>
              <w:t>-5月30</w:t>
            </w:r>
            <w:r>
              <w:rPr>
                <w:rFonts w:hint="eastAsia" w:ascii="宋体" w:hAnsi="宋体"/>
                <w:bCs/>
                <w:iCs/>
                <w:sz w:val="24"/>
                <w:szCs w:val="24"/>
              </w:rPr>
              <w:t>日</w:t>
            </w:r>
          </w:p>
        </w:tc>
      </w:tr>
      <w:tr w14:paraId="61A5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129AC241">
            <w:pPr>
              <w:spacing w:line="480" w:lineRule="atLeast"/>
              <w:rPr>
                <w:rFonts w:hint="eastAsia" w:ascii="宋体" w:hAnsi="宋体"/>
                <w:b/>
                <w:bCs/>
                <w:iCs/>
                <w:sz w:val="24"/>
                <w:szCs w:val="24"/>
              </w:rPr>
            </w:pPr>
            <w:r>
              <w:rPr>
                <w:rFonts w:hint="eastAsia" w:ascii="宋体" w:hAnsi="宋体"/>
                <w:b/>
                <w:bCs/>
                <w:iCs/>
                <w:sz w:val="24"/>
                <w:szCs w:val="24"/>
              </w:rPr>
              <w:t>地点</w:t>
            </w:r>
          </w:p>
        </w:tc>
        <w:tc>
          <w:tcPr>
            <w:tcW w:w="5943" w:type="dxa"/>
            <w:shd w:val="clear" w:color="auto" w:fill="auto"/>
          </w:tcPr>
          <w:p w14:paraId="561AEA90">
            <w:pPr>
              <w:spacing w:line="480" w:lineRule="atLeast"/>
              <w:rPr>
                <w:rFonts w:hint="eastAsia" w:ascii="宋体" w:hAnsi="宋体" w:eastAsia="宋体"/>
                <w:bCs/>
                <w:iCs/>
                <w:sz w:val="24"/>
                <w:szCs w:val="24"/>
                <w:lang w:eastAsia="zh-CN"/>
              </w:rPr>
            </w:pPr>
            <w:r>
              <w:rPr>
                <w:rFonts w:hint="eastAsia" w:ascii="宋体" w:hAnsi="宋体"/>
                <w:bCs/>
                <w:iCs/>
                <w:sz w:val="24"/>
                <w:szCs w:val="24"/>
              </w:rPr>
              <w:t>线上电话会议</w:t>
            </w:r>
            <w:r>
              <w:rPr>
                <w:rFonts w:hint="eastAsia" w:ascii="宋体" w:hAnsi="宋体"/>
                <w:bCs/>
                <w:iCs/>
                <w:sz w:val="24"/>
                <w:szCs w:val="24"/>
                <w:lang w:eastAsia="zh-CN"/>
              </w:rPr>
              <w:t>、反路演现场</w:t>
            </w:r>
          </w:p>
        </w:tc>
      </w:tr>
      <w:tr w14:paraId="0CD8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tcPr>
          <w:p w14:paraId="25C337B3">
            <w:pPr>
              <w:spacing w:line="480" w:lineRule="atLeast"/>
              <w:rPr>
                <w:rFonts w:hint="eastAsia" w:ascii="宋体" w:hAnsi="宋体"/>
                <w:b/>
                <w:bCs/>
                <w:iCs/>
                <w:sz w:val="24"/>
                <w:szCs w:val="24"/>
              </w:rPr>
            </w:pPr>
            <w:r>
              <w:rPr>
                <w:rFonts w:hint="eastAsia" w:ascii="宋体" w:hAnsi="宋体"/>
                <w:b/>
                <w:bCs/>
                <w:iCs/>
                <w:sz w:val="24"/>
                <w:szCs w:val="24"/>
              </w:rPr>
              <w:t>上市公司接待人员姓名</w:t>
            </w:r>
          </w:p>
        </w:tc>
        <w:tc>
          <w:tcPr>
            <w:tcW w:w="5943" w:type="dxa"/>
            <w:shd w:val="clear" w:color="auto" w:fill="auto"/>
            <w:vAlign w:val="center"/>
          </w:tcPr>
          <w:p w14:paraId="7EC2A8F3">
            <w:pPr>
              <w:spacing w:line="480" w:lineRule="atLeast"/>
              <w:jc w:val="both"/>
              <w:rPr>
                <w:rFonts w:hint="eastAsia" w:ascii="宋体" w:hAnsi="宋体"/>
                <w:bCs/>
                <w:iCs/>
                <w:sz w:val="24"/>
                <w:szCs w:val="24"/>
              </w:rPr>
            </w:pPr>
            <w:r>
              <w:rPr>
                <w:rFonts w:hint="eastAsia" w:ascii="宋体" w:hAnsi="宋体"/>
                <w:bCs/>
                <w:iCs/>
                <w:sz w:val="24"/>
                <w:szCs w:val="24"/>
              </w:rPr>
              <w:t>董事、副总经理、董事会秘书曾艳华</w:t>
            </w:r>
          </w:p>
        </w:tc>
      </w:tr>
      <w:tr w14:paraId="1184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730" w:type="dxa"/>
            <w:shd w:val="clear" w:color="auto" w:fill="auto"/>
            <w:vAlign w:val="center"/>
          </w:tcPr>
          <w:p w14:paraId="65C3D4FB">
            <w:pPr>
              <w:spacing w:line="480" w:lineRule="atLeast"/>
              <w:rPr>
                <w:rFonts w:hint="eastAsia" w:ascii="宋体" w:hAnsi="宋体"/>
                <w:b/>
                <w:bCs/>
                <w:iCs/>
                <w:sz w:val="24"/>
                <w:szCs w:val="24"/>
              </w:rPr>
            </w:pPr>
            <w:r>
              <w:rPr>
                <w:rFonts w:hint="eastAsia" w:ascii="宋体" w:hAnsi="宋体"/>
                <w:b/>
                <w:bCs/>
                <w:iCs/>
                <w:sz w:val="24"/>
                <w:szCs w:val="24"/>
              </w:rPr>
              <w:t>投资者关系活动主要内容介绍</w:t>
            </w:r>
          </w:p>
          <w:p w14:paraId="24CE7D0C">
            <w:pPr>
              <w:spacing w:line="480" w:lineRule="atLeast"/>
              <w:rPr>
                <w:rFonts w:hint="eastAsia" w:ascii="宋体" w:hAnsi="宋体"/>
                <w:b/>
                <w:bCs/>
                <w:iCs/>
                <w:sz w:val="24"/>
                <w:szCs w:val="24"/>
              </w:rPr>
            </w:pPr>
          </w:p>
        </w:tc>
        <w:tc>
          <w:tcPr>
            <w:tcW w:w="5943" w:type="dxa"/>
            <w:shd w:val="clear" w:color="auto" w:fill="auto"/>
          </w:tcPr>
          <w:p w14:paraId="61A53F82">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b/>
                <w:sz w:val="24"/>
                <w:szCs w:val="24"/>
              </w:rPr>
            </w:pPr>
            <w:r>
              <w:rPr>
                <w:rFonts w:hint="eastAsia"/>
                <w:b/>
                <w:sz w:val="24"/>
                <w:szCs w:val="24"/>
              </w:rPr>
              <w:t>公司基本情况介绍；</w:t>
            </w:r>
          </w:p>
          <w:p w14:paraId="6550C831">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b/>
                <w:sz w:val="24"/>
                <w:szCs w:val="24"/>
              </w:rPr>
            </w:pPr>
            <w:r>
              <w:rPr>
                <w:rFonts w:hint="eastAsia"/>
                <w:b/>
                <w:sz w:val="24"/>
                <w:szCs w:val="24"/>
              </w:rPr>
              <w:t>与投资者进行交流，主要内容如下：</w:t>
            </w:r>
          </w:p>
          <w:p w14:paraId="48711F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b/>
                <w:sz w:val="24"/>
                <w:szCs w:val="24"/>
              </w:rPr>
            </w:pPr>
            <w:r>
              <w:rPr>
                <w:rFonts w:hint="eastAsia"/>
                <w:b/>
                <w:sz w:val="24"/>
                <w:szCs w:val="24"/>
              </w:rPr>
              <w:t>（一）202</w:t>
            </w:r>
            <w:r>
              <w:rPr>
                <w:rFonts w:hint="eastAsia"/>
                <w:b/>
                <w:sz w:val="24"/>
                <w:szCs w:val="24"/>
                <w:lang w:val="en-US" w:eastAsia="zh-CN"/>
              </w:rPr>
              <w:t>4</w:t>
            </w:r>
            <w:r>
              <w:rPr>
                <w:rFonts w:hint="eastAsia"/>
                <w:b/>
                <w:sz w:val="24"/>
                <w:szCs w:val="24"/>
              </w:rPr>
              <w:t>年度</w:t>
            </w:r>
            <w:r>
              <w:rPr>
                <w:rFonts w:hint="eastAsia"/>
                <w:b/>
                <w:sz w:val="24"/>
                <w:szCs w:val="24"/>
                <w:lang w:val="en-US" w:eastAsia="zh-CN"/>
              </w:rPr>
              <w:t>及</w:t>
            </w:r>
            <w:r>
              <w:rPr>
                <w:rFonts w:hint="eastAsia"/>
                <w:b/>
                <w:sz w:val="24"/>
                <w:szCs w:val="24"/>
                <w:lang w:eastAsia="zh-CN"/>
              </w:rPr>
              <w:t>2025年第一季度</w:t>
            </w:r>
            <w:r>
              <w:rPr>
                <w:rFonts w:hint="eastAsia"/>
                <w:b/>
                <w:sz w:val="24"/>
                <w:szCs w:val="24"/>
              </w:rPr>
              <w:t>公司主要经营情况</w:t>
            </w:r>
          </w:p>
          <w:p w14:paraId="409CFDA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sz w:val="24"/>
                <w:szCs w:val="24"/>
              </w:rPr>
            </w:pPr>
            <w:r>
              <w:rPr>
                <w:rFonts w:hint="eastAsia"/>
                <w:b w:val="0"/>
                <w:bCs/>
                <w:sz w:val="24"/>
                <w:szCs w:val="24"/>
              </w:rPr>
              <w:t>2024年，公司实现营业收入310,030.37万元，同比略降1.32%；实现归属于上市公司股东的净利润10,100.49万元，同比降低16.49%；实现归属于上市公司股东的扣除非经常性损益的净利润为9,049.33万元，同比增加23.40%。2025年第一季度公司实现营业收入58,017.42万元，同比增加10.31%；归母净利润1,517.24万元，同比增加23.70%；扣非净利润1,379万元，同比增加36.97%。公司坚持夯实建筑陶瓷和高分子复合饰面材料两大基业，以“构建泛家居产业生态圈”为战略目标，以市场需求为导向，充分发挥产业集群优势，多措并举提高公司管理效率和经营效益。</w:t>
            </w:r>
          </w:p>
          <w:p w14:paraId="271026D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sz w:val="24"/>
                <w:szCs w:val="24"/>
              </w:rPr>
            </w:pPr>
          </w:p>
          <w:p w14:paraId="5C956FBD">
            <w:pPr>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rPr>
            </w:pPr>
            <w:r>
              <w:rPr>
                <w:rFonts w:hint="eastAsia"/>
                <w:b/>
                <w:sz w:val="24"/>
                <w:szCs w:val="24"/>
              </w:rPr>
              <w:t>（</w:t>
            </w:r>
            <w:r>
              <w:rPr>
                <w:rFonts w:hint="eastAsia"/>
                <w:b/>
                <w:sz w:val="24"/>
                <w:szCs w:val="24"/>
                <w:lang w:val="en-US" w:eastAsia="zh-CN"/>
              </w:rPr>
              <w:t>二</w:t>
            </w:r>
            <w:r>
              <w:rPr>
                <w:rFonts w:hint="eastAsia"/>
                <w:b/>
                <w:sz w:val="24"/>
                <w:szCs w:val="24"/>
              </w:rPr>
              <w:t>）提问交流环节：</w:t>
            </w:r>
          </w:p>
          <w:p w14:paraId="7DC7C5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eastAsia="宋体"/>
                <w:sz w:val="24"/>
                <w:szCs w:val="24"/>
                <w:lang w:val="en-US" w:eastAsia="zh-CN"/>
              </w:rPr>
            </w:pPr>
            <w:r>
              <w:rPr>
                <w:rFonts w:hint="eastAsia"/>
                <w:sz w:val="24"/>
                <w:szCs w:val="24"/>
              </w:rPr>
              <w:t>1、市场上汽车内饰新产品有哪些开发趋势？面对市场需求不断变化，公司有什么应对策略</w:t>
            </w:r>
            <w:r>
              <w:rPr>
                <w:rFonts w:hint="eastAsia"/>
                <w:sz w:val="24"/>
                <w:szCs w:val="24"/>
                <w:lang w:val="en-US" w:eastAsia="zh-CN"/>
              </w:rPr>
              <w:t>？</w:t>
            </w:r>
          </w:p>
          <w:p w14:paraId="31AC1E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sz w:val="24"/>
                <w:szCs w:val="24"/>
              </w:rPr>
              <w:t>答：在汽车内饰饰面材料行业激烈竞争的格局下，公司以创新驱动发展，不断巩固并完善自主核心技术，保持技术领先优势。在新能源汽车渗透率快速提升、国产自主品牌车企崛起的行业机遇期。公司将以客户、市场需求为导向，积极维护并深入拓展与现有客户的良好合作，充分挖掘市场机会，不断开拓新市场、新客户，有效抓住产业链升级红利。公司将持续推进汽车内饰材料技术创新和产品研发，加强与下游客户及整车厂商的合作和项目开发，公司以灵活响应的供应链合作模式，通过透光革、科技感面料、肤感饰面材料等功能性、装饰性、智能化绿色材料的开发，构建差异化的服务能力，从材料供应商升级为“解决方案伙伴”，增强与客户的合作黏性</w:t>
            </w:r>
            <w:r>
              <w:rPr>
                <w:rFonts w:hint="eastAsia"/>
                <w:sz w:val="24"/>
                <w:szCs w:val="24"/>
                <w:lang w:val="en-US" w:eastAsia="zh-CN"/>
              </w:rPr>
              <w:t>。</w:t>
            </w:r>
            <w:r>
              <w:rPr>
                <w:sz w:val="24"/>
                <w:szCs w:val="24"/>
              </w:rPr>
              <w:t xml:space="preserve"> </w:t>
            </w:r>
          </w:p>
          <w:p w14:paraId="2907CFC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p>
          <w:p w14:paraId="41E8891D">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天安新材在家居整装领域有哪些优势？整装品牌未来的定位及方向是什么？</w:t>
            </w:r>
          </w:p>
          <w:p w14:paraId="2840D8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答：公司持续推进战略布局优化与产业链协同发展。公司通过整合泛家居领域上下游资源，建立了跨行业的资源协同机制，有效破除产业链环节间的技术壁垒，构建多维竞争优势体系，持续完善产业供应链，有效降低全产业链运营成本，严格执行交付落地标准。</w:t>
            </w:r>
          </w:p>
          <w:p w14:paraId="76805BB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未来，公司将坚持以巩固存量、多元经营、协同发展为主线，强化创新驱动，积极探索健康人居，发挥装配式整装快速交付、绿色环保、即装即住、同色定制、所见即所得等优势，不断提高整装品牌核心竞争力。公司将秉承“健康家，天安造”的核心理念，以装配式内装技术打造符合国际LEED和WELL双认证标准的城市会客厅，充分利用产业链优势，集中展示从建筑设计、建筑施工、室内整装到建材材料的全产业链生态圈，加大品牌宣传及招商力度。</w:t>
            </w:r>
          </w:p>
          <w:p w14:paraId="24882C5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p>
          <w:p w14:paraId="6CA114D8">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今年公司建筑陶瓷板块有哪些布局？推出了哪些新品？</w:t>
            </w:r>
          </w:p>
          <w:p w14:paraId="3977533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答：在建筑陶瓷板块，公司将依托旗下鹰牌品牌，继续深化“陶瓷+大家居”双轨并行战略，紧抓“微笑曲线”两端，聚焦研发设计与品牌营销，通过不断优化组织架构、推进属地化生产和中心仓区域布局，同时完善对优质经销商的帮扶措施，深耕区域渠道、下沉市场，着力打造优势区域，加大与有共同价值观的知名度高的整装公司和设计公司、战略工程渠道伙伴的合作力度，最终实现从品牌、渠道端为集团产业链其他业务板块引流，将墙板、地板、墙衣等部品部件向终端消费市场输出，筑牢业绩增长根基的同时寻求新的突破。</w:t>
            </w:r>
          </w:p>
          <w:p w14:paraId="328BCEF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kern w:val="2"/>
                <w:sz w:val="24"/>
                <w:szCs w:val="24"/>
                <w:lang w:val="en-US" w:eastAsia="zh-CN" w:bidi="ar"/>
              </w:rPr>
              <w:t>在今年4月的春季新品发布会上，鹰牌推出锦绣、觅境、鹰牌岩板、天工、高透原石、森林木歌、质感理石、鲸MAX·星钻釉、花样年华等九大系列超60款新品。鹰牌陶瓷、鹰牌2086始终秉承着“人无我有，人有我优，人优我新”的理念，根据消费者需求的变化，不断进行产品革新、技术升级，让鹰牌美学触达更广泛的消费群体，引领行业趋势和家居美学新风尚。</w:t>
            </w:r>
          </w:p>
          <w:p w14:paraId="6524482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sz w:val="24"/>
                <w:szCs w:val="24"/>
                <w:lang w:val="en-US" w:eastAsia="zh-CN"/>
              </w:rPr>
            </w:pPr>
          </w:p>
          <w:p w14:paraId="0BF7CB00">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天安新材在汽饰业务板块有哪些优势？</w:t>
            </w:r>
          </w:p>
          <w:p w14:paraId="1E50889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答：公司拥有自主知识产权及核心竞争力，是国家级专精特新“小巨人”企业、国家知识产权示范企业，建立了以省级企业技术中心、省级工程技术研究开发中心、CNAS实验室等研发机构为核心的技术研究开发体系。公司的低能电子束辐照设备（EB机）作为国内少数实现低能电子束辐照技术工业化生产应用的表面处理设备，通过大幅提高材料的耐热、耐污、耐磨及耐刮擦性能，为汽车内饰饰面材料产品开发和性能提升提供技术支撑。公司高度重视产品质量管理，通过构建完整的质量管理体系，为客户提供品质稳定的高质量、绿色环保产品。同时，公司不断以市场客户需求为导向，推进功能性、装饰性、智能化绿色材料研发。公司经过十余年的技术深耕与市场拓展，凭借高性价比和高质量内饰产品逐步切入各大主机厂供应体系，并与国内外主流整车厂及其配套供应商建立了稳定的合作关系。</w:t>
            </w:r>
          </w:p>
          <w:p w14:paraId="1F65CBF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p>
          <w:p w14:paraId="77C483DF">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公司构建的泛家居产业链有哪些优势？</w:t>
            </w:r>
          </w:p>
          <w:p w14:paraId="6A44CE6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答：公司实现了从建筑设计、建筑施工、室内整装到建材材料的全产业链闭环，形成了以鹰牌集团、天安高分子、浙江瑞欣和天安集成构成的材料板块和以南方设计院、天汇建科、佛山隽业构成的EPC板块两大业务板块，构建了坚实的企业护城河。未来公司将以材料板块与EPC板块两大业务板块为战略支点，充分发挥各业务板块协同发展、相互赋能、资源整合的产业链优势，以终端整装需求带动对前端建材产品的销售提量，强化集团产业链优势增量，不断优化资源配置，深入推进精细化管理，寻求新的业绩增长点，推动公司高质量发展，不断扩大能力边界。</w:t>
            </w:r>
          </w:p>
          <w:p w14:paraId="12B6FFE8">
            <w:pPr>
              <w:widowControl/>
              <w:jc w:val="left"/>
              <w:rPr>
                <w:sz w:val="24"/>
                <w:szCs w:val="24"/>
              </w:rPr>
            </w:pPr>
          </w:p>
        </w:tc>
      </w:tr>
      <w:tr w14:paraId="623B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2CBAFEF1">
            <w:pPr>
              <w:spacing w:line="480" w:lineRule="atLeast"/>
              <w:rPr>
                <w:rFonts w:hint="eastAsia" w:ascii="宋体" w:hAnsi="宋体"/>
                <w:b/>
                <w:bCs/>
                <w:iCs/>
                <w:sz w:val="24"/>
                <w:szCs w:val="24"/>
              </w:rPr>
            </w:pPr>
            <w:r>
              <w:rPr>
                <w:rFonts w:hint="eastAsia" w:ascii="宋体" w:hAnsi="宋体"/>
                <w:b/>
                <w:bCs/>
                <w:iCs/>
                <w:sz w:val="24"/>
                <w:szCs w:val="24"/>
              </w:rPr>
              <w:t>附件清单</w:t>
            </w:r>
          </w:p>
          <w:p w14:paraId="14C10D9E">
            <w:pPr>
              <w:spacing w:line="480" w:lineRule="atLeast"/>
              <w:rPr>
                <w:rFonts w:hint="eastAsia" w:ascii="宋体" w:hAnsi="宋体"/>
                <w:b/>
                <w:bCs/>
                <w:iCs/>
                <w:sz w:val="24"/>
                <w:szCs w:val="24"/>
              </w:rPr>
            </w:pPr>
            <w:r>
              <w:rPr>
                <w:rFonts w:hint="eastAsia" w:ascii="宋体" w:hAnsi="宋体"/>
                <w:b/>
                <w:bCs/>
                <w:iCs/>
                <w:sz w:val="24"/>
                <w:szCs w:val="24"/>
              </w:rPr>
              <w:t>（如有）</w:t>
            </w:r>
          </w:p>
        </w:tc>
        <w:tc>
          <w:tcPr>
            <w:tcW w:w="5943" w:type="dxa"/>
            <w:shd w:val="clear" w:color="auto" w:fill="auto"/>
          </w:tcPr>
          <w:p w14:paraId="4D3415FA">
            <w:pPr>
              <w:spacing w:line="480" w:lineRule="atLeast"/>
              <w:rPr>
                <w:rFonts w:hint="eastAsia" w:ascii="宋体" w:hAnsi="宋体"/>
                <w:bCs/>
                <w:iCs/>
                <w:sz w:val="24"/>
                <w:szCs w:val="24"/>
              </w:rPr>
            </w:pPr>
            <w:r>
              <w:rPr>
                <w:rFonts w:ascii="宋体" w:hAnsi="宋体"/>
                <w:bCs/>
                <w:iCs/>
                <w:sz w:val="24"/>
                <w:szCs w:val="24"/>
              </w:rPr>
              <w:t>无</w:t>
            </w:r>
          </w:p>
        </w:tc>
      </w:tr>
      <w:tr w14:paraId="719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32A9BB6F">
            <w:pPr>
              <w:spacing w:line="480" w:lineRule="atLeast"/>
              <w:rPr>
                <w:rFonts w:hint="eastAsia" w:ascii="宋体" w:hAnsi="宋体"/>
                <w:b/>
                <w:bCs/>
                <w:iCs/>
                <w:sz w:val="24"/>
                <w:szCs w:val="24"/>
              </w:rPr>
            </w:pPr>
            <w:r>
              <w:rPr>
                <w:rFonts w:hint="eastAsia" w:ascii="宋体" w:hAnsi="宋体"/>
                <w:b/>
                <w:bCs/>
                <w:iCs/>
                <w:sz w:val="24"/>
                <w:szCs w:val="24"/>
              </w:rPr>
              <w:t>日期</w:t>
            </w:r>
          </w:p>
        </w:tc>
        <w:tc>
          <w:tcPr>
            <w:tcW w:w="5943" w:type="dxa"/>
            <w:shd w:val="clear" w:color="auto" w:fill="auto"/>
          </w:tcPr>
          <w:p w14:paraId="3488726F">
            <w:pPr>
              <w:spacing w:line="480" w:lineRule="atLeast"/>
              <w:rPr>
                <w:rFonts w:hint="eastAsia" w:ascii="宋体" w:hAnsi="宋体"/>
                <w:bCs/>
                <w:iCs/>
                <w:sz w:val="24"/>
                <w:szCs w:val="24"/>
              </w:rPr>
            </w:pPr>
            <w:r>
              <w:rPr>
                <w:rFonts w:hint="eastAsia" w:ascii="宋体" w:hAnsi="宋体"/>
                <w:bCs/>
                <w:iCs/>
                <w:sz w:val="24"/>
                <w:szCs w:val="24"/>
              </w:rPr>
              <w:t>2025年</w:t>
            </w:r>
            <w:r>
              <w:rPr>
                <w:rFonts w:hint="eastAsia" w:ascii="宋体" w:hAnsi="宋体"/>
                <w:bCs/>
                <w:iCs/>
                <w:sz w:val="24"/>
                <w:szCs w:val="24"/>
                <w:lang w:val="en-US" w:eastAsia="zh-CN"/>
              </w:rPr>
              <w:t>5</w:t>
            </w:r>
            <w:r>
              <w:rPr>
                <w:rFonts w:hint="eastAsia" w:ascii="宋体" w:hAnsi="宋体"/>
                <w:bCs/>
                <w:iCs/>
                <w:sz w:val="24"/>
                <w:szCs w:val="24"/>
              </w:rPr>
              <w:t>月</w:t>
            </w:r>
            <w:r>
              <w:rPr>
                <w:rFonts w:hint="eastAsia" w:ascii="宋体" w:hAnsi="宋体"/>
                <w:bCs/>
                <w:iCs/>
                <w:sz w:val="24"/>
                <w:szCs w:val="24"/>
                <w:lang w:val="en-US" w:eastAsia="zh-CN"/>
              </w:rPr>
              <w:t>30</w:t>
            </w:r>
            <w:r>
              <w:rPr>
                <w:rFonts w:hint="eastAsia" w:ascii="宋体" w:hAnsi="宋体"/>
                <w:bCs/>
                <w:iCs/>
                <w:sz w:val="24"/>
                <w:szCs w:val="24"/>
              </w:rPr>
              <w:t>日</w:t>
            </w:r>
          </w:p>
        </w:tc>
      </w:tr>
    </w:tbl>
    <w:p w14:paraId="5B12D23E"/>
    <w:sectPr>
      <w:headerReference r:id="rId3"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92EF">
    <w:pPr>
      <w:pStyle w:val="4"/>
      <w:rPr>
        <w:rFonts w:hint="eastAsia" w:ascii="宋体" w:hAnsi="宋体"/>
        <w:bCs/>
        <w:iCs/>
        <w:sz w:val="21"/>
        <w:szCs w:val="21"/>
      </w:rPr>
    </w:pPr>
    <w:r>
      <w:rPr>
        <w:rFonts w:hint="eastAsia" w:ascii="宋体" w:hAnsi="宋体"/>
        <w:bCs/>
        <w:iCs/>
        <w:sz w:val="21"/>
        <w:szCs w:val="21"/>
      </w:rPr>
      <w:t>证券代码：60</w:t>
    </w:r>
    <w:r>
      <w:rPr>
        <w:rFonts w:ascii="宋体" w:hAnsi="宋体"/>
        <w:bCs/>
        <w:iCs/>
        <w:sz w:val="21"/>
        <w:szCs w:val="21"/>
      </w:rPr>
      <w:t>3</w:t>
    </w:r>
    <w:r>
      <w:rPr>
        <w:rFonts w:hint="eastAsia" w:ascii="宋体" w:hAnsi="宋体"/>
        <w:bCs/>
        <w:iCs/>
        <w:sz w:val="21"/>
        <w:szCs w:val="21"/>
      </w:rPr>
      <w:t xml:space="preserve">725  </w:t>
    </w:r>
    <w:r>
      <w:rPr>
        <w:rFonts w:ascii="宋体" w:hAnsi="宋体"/>
        <w:bCs/>
        <w:iCs/>
        <w:sz w:val="21"/>
        <w:szCs w:val="21"/>
      </w:rPr>
      <w:t xml:space="preserve">                         </w:t>
    </w:r>
    <w:r>
      <w:rPr>
        <w:rFonts w:hint="eastAsia" w:ascii="宋体" w:hAnsi="宋体"/>
        <w:bCs/>
        <w:iCs/>
        <w:sz w:val="21"/>
        <w:szCs w:val="21"/>
      </w:rPr>
      <w:t xml:space="preserve">         证券简称：天安新材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75FBB"/>
    <w:multiLevelType w:val="singleLevel"/>
    <w:tmpl w:val="56B75FBB"/>
    <w:lvl w:ilvl="0" w:tentative="0">
      <w:start w:val="2"/>
      <w:numFmt w:val="decimal"/>
      <w:suff w:val="nothing"/>
      <w:lvlText w:val="%1、"/>
      <w:lvlJc w:val="left"/>
    </w:lvl>
  </w:abstractNum>
  <w:abstractNum w:abstractNumId="1">
    <w:nsid w:val="5CA57A49"/>
    <w:multiLevelType w:val="multilevel"/>
    <w:tmpl w:val="5CA57A49"/>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8"/>
    <w:rsid w:val="000157FD"/>
    <w:rsid w:val="000245CA"/>
    <w:rsid w:val="000450A9"/>
    <w:rsid w:val="00063073"/>
    <w:rsid w:val="000754B4"/>
    <w:rsid w:val="0007568B"/>
    <w:rsid w:val="00080F2B"/>
    <w:rsid w:val="000849BA"/>
    <w:rsid w:val="000A31DA"/>
    <w:rsid w:val="000A79FB"/>
    <w:rsid w:val="000A7E4A"/>
    <w:rsid w:val="000B1C14"/>
    <w:rsid w:val="000B75A7"/>
    <w:rsid w:val="000D00C7"/>
    <w:rsid w:val="000D3A79"/>
    <w:rsid w:val="000D56FE"/>
    <w:rsid w:val="000F18AF"/>
    <w:rsid w:val="000F4DD6"/>
    <w:rsid w:val="001024E5"/>
    <w:rsid w:val="00106147"/>
    <w:rsid w:val="00113B34"/>
    <w:rsid w:val="00130C40"/>
    <w:rsid w:val="001337F9"/>
    <w:rsid w:val="0013500E"/>
    <w:rsid w:val="001439BE"/>
    <w:rsid w:val="00143F94"/>
    <w:rsid w:val="001502E6"/>
    <w:rsid w:val="00155B3C"/>
    <w:rsid w:val="001722F3"/>
    <w:rsid w:val="00173E13"/>
    <w:rsid w:val="00174F18"/>
    <w:rsid w:val="00175757"/>
    <w:rsid w:val="00192E4E"/>
    <w:rsid w:val="00194834"/>
    <w:rsid w:val="001A467E"/>
    <w:rsid w:val="001B1A53"/>
    <w:rsid w:val="001C3480"/>
    <w:rsid w:val="001C6A4B"/>
    <w:rsid w:val="001D2DB1"/>
    <w:rsid w:val="001D369A"/>
    <w:rsid w:val="001D3916"/>
    <w:rsid w:val="001D4AAE"/>
    <w:rsid w:val="001D6BFE"/>
    <w:rsid w:val="001F10A8"/>
    <w:rsid w:val="001F4DDD"/>
    <w:rsid w:val="00214491"/>
    <w:rsid w:val="00220AEA"/>
    <w:rsid w:val="00225393"/>
    <w:rsid w:val="002312D7"/>
    <w:rsid w:val="00231727"/>
    <w:rsid w:val="00232BC1"/>
    <w:rsid w:val="00246187"/>
    <w:rsid w:val="0025317F"/>
    <w:rsid w:val="00273315"/>
    <w:rsid w:val="002C5EEF"/>
    <w:rsid w:val="002D1265"/>
    <w:rsid w:val="002D200D"/>
    <w:rsid w:val="002D39A7"/>
    <w:rsid w:val="002D7DA7"/>
    <w:rsid w:val="003063E5"/>
    <w:rsid w:val="00312F15"/>
    <w:rsid w:val="00320994"/>
    <w:rsid w:val="003262D5"/>
    <w:rsid w:val="00333001"/>
    <w:rsid w:val="0033336C"/>
    <w:rsid w:val="00340B1B"/>
    <w:rsid w:val="0035062B"/>
    <w:rsid w:val="00352F7F"/>
    <w:rsid w:val="003542D7"/>
    <w:rsid w:val="00371229"/>
    <w:rsid w:val="00374563"/>
    <w:rsid w:val="00395D4D"/>
    <w:rsid w:val="003B1E53"/>
    <w:rsid w:val="003B5E23"/>
    <w:rsid w:val="003E102C"/>
    <w:rsid w:val="003E2689"/>
    <w:rsid w:val="003E59F4"/>
    <w:rsid w:val="003F122F"/>
    <w:rsid w:val="003F4018"/>
    <w:rsid w:val="003F43A4"/>
    <w:rsid w:val="003F4561"/>
    <w:rsid w:val="00404F68"/>
    <w:rsid w:val="00415156"/>
    <w:rsid w:val="004425B5"/>
    <w:rsid w:val="00444B9F"/>
    <w:rsid w:val="00465489"/>
    <w:rsid w:val="00474FCD"/>
    <w:rsid w:val="0047613C"/>
    <w:rsid w:val="00497936"/>
    <w:rsid w:val="004B1A37"/>
    <w:rsid w:val="004B1BED"/>
    <w:rsid w:val="004D363E"/>
    <w:rsid w:val="004E2B0F"/>
    <w:rsid w:val="004F55D1"/>
    <w:rsid w:val="004F612C"/>
    <w:rsid w:val="00512B00"/>
    <w:rsid w:val="005266F5"/>
    <w:rsid w:val="005275C3"/>
    <w:rsid w:val="00532CF0"/>
    <w:rsid w:val="0054754D"/>
    <w:rsid w:val="00547B0C"/>
    <w:rsid w:val="00550366"/>
    <w:rsid w:val="00572AFC"/>
    <w:rsid w:val="005736DE"/>
    <w:rsid w:val="00575FE1"/>
    <w:rsid w:val="005821BB"/>
    <w:rsid w:val="005846A6"/>
    <w:rsid w:val="0058766F"/>
    <w:rsid w:val="0059105E"/>
    <w:rsid w:val="005A47A2"/>
    <w:rsid w:val="005B17F9"/>
    <w:rsid w:val="005C77BC"/>
    <w:rsid w:val="005D293A"/>
    <w:rsid w:val="005E7547"/>
    <w:rsid w:val="005F359B"/>
    <w:rsid w:val="005F503A"/>
    <w:rsid w:val="00611486"/>
    <w:rsid w:val="00612EFB"/>
    <w:rsid w:val="0061358F"/>
    <w:rsid w:val="00613C16"/>
    <w:rsid w:val="00627797"/>
    <w:rsid w:val="00640A3C"/>
    <w:rsid w:val="00642CF8"/>
    <w:rsid w:val="00645FCE"/>
    <w:rsid w:val="006468F7"/>
    <w:rsid w:val="00654A0F"/>
    <w:rsid w:val="00667A84"/>
    <w:rsid w:val="00684FFB"/>
    <w:rsid w:val="00686ADF"/>
    <w:rsid w:val="006870FD"/>
    <w:rsid w:val="006C0777"/>
    <w:rsid w:val="006C2175"/>
    <w:rsid w:val="006D524A"/>
    <w:rsid w:val="006D58E8"/>
    <w:rsid w:val="006E7E43"/>
    <w:rsid w:val="006F0CFA"/>
    <w:rsid w:val="006F0D58"/>
    <w:rsid w:val="006F5D79"/>
    <w:rsid w:val="0072048B"/>
    <w:rsid w:val="00736D7F"/>
    <w:rsid w:val="00752C09"/>
    <w:rsid w:val="00762AF4"/>
    <w:rsid w:val="00774DCC"/>
    <w:rsid w:val="00775F2E"/>
    <w:rsid w:val="007819D5"/>
    <w:rsid w:val="00786334"/>
    <w:rsid w:val="00786BC2"/>
    <w:rsid w:val="007919B0"/>
    <w:rsid w:val="007A786C"/>
    <w:rsid w:val="007C57FF"/>
    <w:rsid w:val="007D371E"/>
    <w:rsid w:val="007E334D"/>
    <w:rsid w:val="007E6C40"/>
    <w:rsid w:val="00807DF7"/>
    <w:rsid w:val="00812FFA"/>
    <w:rsid w:val="00817A24"/>
    <w:rsid w:val="00821EFA"/>
    <w:rsid w:val="008403C3"/>
    <w:rsid w:val="00851660"/>
    <w:rsid w:val="00860925"/>
    <w:rsid w:val="0086439C"/>
    <w:rsid w:val="008713D8"/>
    <w:rsid w:val="00872CDE"/>
    <w:rsid w:val="0087466F"/>
    <w:rsid w:val="00877D67"/>
    <w:rsid w:val="00883B7B"/>
    <w:rsid w:val="008865DC"/>
    <w:rsid w:val="0089641D"/>
    <w:rsid w:val="008A0B53"/>
    <w:rsid w:val="008A17AA"/>
    <w:rsid w:val="008A7858"/>
    <w:rsid w:val="008B255D"/>
    <w:rsid w:val="008F1A7E"/>
    <w:rsid w:val="008F31B0"/>
    <w:rsid w:val="008F3A0C"/>
    <w:rsid w:val="0090042E"/>
    <w:rsid w:val="0091762C"/>
    <w:rsid w:val="009234B9"/>
    <w:rsid w:val="00923FA7"/>
    <w:rsid w:val="00941E2C"/>
    <w:rsid w:val="00947DE7"/>
    <w:rsid w:val="00957F83"/>
    <w:rsid w:val="009648A3"/>
    <w:rsid w:val="0098031D"/>
    <w:rsid w:val="009829C7"/>
    <w:rsid w:val="0099128B"/>
    <w:rsid w:val="00992438"/>
    <w:rsid w:val="00993947"/>
    <w:rsid w:val="009B06B8"/>
    <w:rsid w:val="009B0E89"/>
    <w:rsid w:val="009B52CC"/>
    <w:rsid w:val="009D6411"/>
    <w:rsid w:val="009E11A3"/>
    <w:rsid w:val="009F00AB"/>
    <w:rsid w:val="00A001F8"/>
    <w:rsid w:val="00A0553C"/>
    <w:rsid w:val="00A1617C"/>
    <w:rsid w:val="00A2592E"/>
    <w:rsid w:val="00A34AF5"/>
    <w:rsid w:val="00A374E6"/>
    <w:rsid w:val="00A37B2D"/>
    <w:rsid w:val="00A51181"/>
    <w:rsid w:val="00A607A4"/>
    <w:rsid w:val="00A60AEF"/>
    <w:rsid w:val="00A641FB"/>
    <w:rsid w:val="00A767D4"/>
    <w:rsid w:val="00A7755E"/>
    <w:rsid w:val="00A7759C"/>
    <w:rsid w:val="00A82C5F"/>
    <w:rsid w:val="00A8341B"/>
    <w:rsid w:val="00A90EC7"/>
    <w:rsid w:val="00A91C76"/>
    <w:rsid w:val="00AC0959"/>
    <w:rsid w:val="00AD039E"/>
    <w:rsid w:val="00AD0F41"/>
    <w:rsid w:val="00AE4E56"/>
    <w:rsid w:val="00AF0224"/>
    <w:rsid w:val="00AF7C3D"/>
    <w:rsid w:val="00AF7F31"/>
    <w:rsid w:val="00B0652E"/>
    <w:rsid w:val="00B07A7E"/>
    <w:rsid w:val="00B241D3"/>
    <w:rsid w:val="00B27C5C"/>
    <w:rsid w:val="00B352B6"/>
    <w:rsid w:val="00B37C8E"/>
    <w:rsid w:val="00B37D1E"/>
    <w:rsid w:val="00B504EB"/>
    <w:rsid w:val="00B54BB7"/>
    <w:rsid w:val="00B54D2F"/>
    <w:rsid w:val="00B65713"/>
    <w:rsid w:val="00B7542F"/>
    <w:rsid w:val="00BA1952"/>
    <w:rsid w:val="00BA1A55"/>
    <w:rsid w:val="00BA78D9"/>
    <w:rsid w:val="00BD0516"/>
    <w:rsid w:val="00BD096D"/>
    <w:rsid w:val="00BD2277"/>
    <w:rsid w:val="00C140EC"/>
    <w:rsid w:val="00C17D24"/>
    <w:rsid w:val="00C25E7A"/>
    <w:rsid w:val="00C44A3A"/>
    <w:rsid w:val="00C50940"/>
    <w:rsid w:val="00C52AF1"/>
    <w:rsid w:val="00C56033"/>
    <w:rsid w:val="00C65777"/>
    <w:rsid w:val="00C66E2E"/>
    <w:rsid w:val="00C73448"/>
    <w:rsid w:val="00C84344"/>
    <w:rsid w:val="00CB7B99"/>
    <w:rsid w:val="00CC384A"/>
    <w:rsid w:val="00CD4E73"/>
    <w:rsid w:val="00CD74DE"/>
    <w:rsid w:val="00CF19F9"/>
    <w:rsid w:val="00CF6EB7"/>
    <w:rsid w:val="00D13A50"/>
    <w:rsid w:val="00D1672D"/>
    <w:rsid w:val="00D239AB"/>
    <w:rsid w:val="00D25FC2"/>
    <w:rsid w:val="00D336F2"/>
    <w:rsid w:val="00D35953"/>
    <w:rsid w:val="00D35C2F"/>
    <w:rsid w:val="00D56E9D"/>
    <w:rsid w:val="00D66034"/>
    <w:rsid w:val="00D70F87"/>
    <w:rsid w:val="00D80003"/>
    <w:rsid w:val="00D87A9B"/>
    <w:rsid w:val="00DA1244"/>
    <w:rsid w:val="00DA214C"/>
    <w:rsid w:val="00DA75A1"/>
    <w:rsid w:val="00DB0AE8"/>
    <w:rsid w:val="00DC3BE2"/>
    <w:rsid w:val="00DC6C00"/>
    <w:rsid w:val="00DD2324"/>
    <w:rsid w:val="00DD4F16"/>
    <w:rsid w:val="00DF0471"/>
    <w:rsid w:val="00DF4543"/>
    <w:rsid w:val="00DF7207"/>
    <w:rsid w:val="00DF77E6"/>
    <w:rsid w:val="00E02D30"/>
    <w:rsid w:val="00E0677D"/>
    <w:rsid w:val="00E109A7"/>
    <w:rsid w:val="00E11054"/>
    <w:rsid w:val="00E1547C"/>
    <w:rsid w:val="00E40C1C"/>
    <w:rsid w:val="00E44458"/>
    <w:rsid w:val="00E50677"/>
    <w:rsid w:val="00E52047"/>
    <w:rsid w:val="00E62974"/>
    <w:rsid w:val="00E763EC"/>
    <w:rsid w:val="00E81BEF"/>
    <w:rsid w:val="00E84B35"/>
    <w:rsid w:val="00E906D5"/>
    <w:rsid w:val="00EC6CF7"/>
    <w:rsid w:val="00EF2C4F"/>
    <w:rsid w:val="00F006DC"/>
    <w:rsid w:val="00F069B6"/>
    <w:rsid w:val="00F24EE3"/>
    <w:rsid w:val="00F30B51"/>
    <w:rsid w:val="00F46166"/>
    <w:rsid w:val="00F54E81"/>
    <w:rsid w:val="00F564A0"/>
    <w:rsid w:val="00F60C0E"/>
    <w:rsid w:val="00F733B4"/>
    <w:rsid w:val="00F737B7"/>
    <w:rsid w:val="00F77FD2"/>
    <w:rsid w:val="00F82D1E"/>
    <w:rsid w:val="00F83012"/>
    <w:rsid w:val="00F83D23"/>
    <w:rsid w:val="00F85525"/>
    <w:rsid w:val="00F934AD"/>
    <w:rsid w:val="00FA3967"/>
    <w:rsid w:val="00FB5EE6"/>
    <w:rsid w:val="00FC29B2"/>
    <w:rsid w:val="00FC51E6"/>
    <w:rsid w:val="00FD03A8"/>
    <w:rsid w:val="00FD3B33"/>
    <w:rsid w:val="00FD68D8"/>
    <w:rsid w:val="00FF321C"/>
    <w:rsid w:val="01A87AFF"/>
    <w:rsid w:val="01AC619B"/>
    <w:rsid w:val="02BB6852"/>
    <w:rsid w:val="03536EC3"/>
    <w:rsid w:val="03681C3C"/>
    <w:rsid w:val="037B54CB"/>
    <w:rsid w:val="043B10FF"/>
    <w:rsid w:val="046425BE"/>
    <w:rsid w:val="04785EAF"/>
    <w:rsid w:val="04D806FC"/>
    <w:rsid w:val="04F66000"/>
    <w:rsid w:val="05446477"/>
    <w:rsid w:val="05942874"/>
    <w:rsid w:val="068C65AB"/>
    <w:rsid w:val="06C4775E"/>
    <w:rsid w:val="073360BD"/>
    <w:rsid w:val="07397B77"/>
    <w:rsid w:val="074262C5"/>
    <w:rsid w:val="07697D31"/>
    <w:rsid w:val="079923C4"/>
    <w:rsid w:val="07A019A5"/>
    <w:rsid w:val="07A174CB"/>
    <w:rsid w:val="07C30AFD"/>
    <w:rsid w:val="07F7533D"/>
    <w:rsid w:val="08057A5A"/>
    <w:rsid w:val="082A74C0"/>
    <w:rsid w:val="08A74FB5"/>
    <w:rsid w:val="08C16076"/>
    <w:rsid w:val="08F24482"/>
    <w:rsid w:val="09075A53"/>
    <w:rsid w:val="091C4F8C"/>
    <w:rsid w:val="09436A8B"/>
    <w:rsid w:val="0973209F"/>
    <w:rsid w:val="098827C8"/>
    <w:rsid w:val="0A474359"/>
    <w:rsid w:val="0A6B58A5"/>
    <w:rsid w:val="0AB3379D"/>
    <w:rsid w:val="0B0D1E69"/>
    <w:rsid w:val="0C831895"/>
    <w:rsid w:val="0CC02A05"/>
    <w:rsid w:val="0CC5375D"/>
    <w:rsid w:val="0CDD0FA5"/>
    <w:rsid w:val="0D662534"/>
    <w:rsid w:val="0D763030"/>
    <w:rsid w:val="0D8C0298"/>
    <w:rsid w:val="0DCB0A0E"/>
    <w:rsid w:val="0E1D789D"/>
    <w:rsid w:val="0E2D3866"/>
    <w:rsid w:val="0E682AF0"/>
    <w:rsid w:val="0F1D392A"/>
    <w:rsid w:val="0F5355AE"/>
    <w:rsid w:val="0F696B20"/>
    <w:rsid w:val="0FB5289B"/>
    <w:rsid w:val="0FBB2F4F"/>
    <w:rsid w:val="0FCE0E92"/>
    <w:rsid w:val="11AB1672"/>
    <w:rsid w:val="11B00A36"/>
    <w:rsid w:val="11DF30C9"/>
    <w:rsid w:val="12B27644"/>
    <w:rsid w:val="130D1EB8"/>
    <w:rsid w:val="13631D30"/>
    <w:rsid w:val="150A2B53"/>
    <w:rsid w:val="15DB629E"/>
    <w:rsid w:val="16337E88"/>
    <w:rsid w:val="163D2AB4"/>
    <w:rsid w:val="16565924"/>
    <w:rsid w:val="165A3666"/>
    <w:rsid w:val="16836428"/>
    <w:rsid w:val="173043C7"/>
    <w:rsid w:val="17B9468F"/>
    <w:rsid w:val="17D82A95"/>
    <w:rsid w:val="18D55226"/>
    <w:rsid w:val="194D300E"/>
    <w:rsid w:val="19BD0194"/>
    <w:rsid w:val="1A3C637F"/>
    <w:rsid w:val="1AFF47DC"/>
    <w:rsid w:val="1B2B3823"/>
    <w:rsid w:val="1B3E5305"/>
    <w:rsid w:val="1B733202"/>
    <w:rsid w:val="1B8371BB"/>
    <w:rsid w:val="1C3B2397"/>
    <w:rsid w:val="1C664547"/>
    <w:rsid w:val="1C6C5EA1"/>
    <w:rsid w:val="1CD51C99"/>
    <w:rsid w:val="1D3A5FA0"/>
    <w:rsid w:val="1E182ECA"/>
    <w:rsid w:val="1EA062D6"/>
    <w:rsid w:val="1EB17343"/>
    <w:rsid w:val="1F6E1F30"/>
    <w:rsid w:val="1F8A78EA"/>
    <w:rsid w:val="20601879"/>
    <w:rsid w:val="20BB0071"/>
    <w:rsid w:val="20DF30E6"/>
    <w:rsid w:val="20F84E09"/>
    <w:rsid w:val="211C2557"/>
    <w:rsid w:val="21333432"/>
    <w:rsid w:val="22205764"/>
    <w:rsid w:val="2305495A"/>
    <w:rsid w:val="23137077"/>
    <w:rsid w:val="23AE6D9F"/>
    <w:rsid w:val="23B31F24"/>
    <w:rsid w:val="23CD7676"/>
    <w:rsid w:val="25407ECB"/>
    <w:rsid w:val="25A4045A"/>
    <w:rsid w:val="25FD7B6A"/>
    <w:rsid w:val="262D3FA9"/>
    <w:rsid w:val="262E03B6"/>
    <w:rsid w:val="26493BE3"/>
    <w:rsid w:val="26527EB6"/>
    <w:rsid w:val="266F2816"/>
    <w:rsid w:val="269D41C7"/>
    <w:rsid w:val="26A5448A"/>
    <w:rsid w:val="26AB5818"/>
    <w:rsid w:val="26C64400"/>
    <w:rsid w:val="27092D0A"/>
    <w:rsid w:val="27930786"/>
    <w:rsid w:val="279A0157"/>
    <w:rsid w:val="28172612"/>
    <w:rsid w:val="289B0BA8"/>
    <w:rsid w:val="28E6709C"/>
    <w:rsid w:val="29254939"/>
    <w:rsid w:val="29785E86"/>
    <w:rsid w:val="29946A38"/>
    <w:rsid w:val="29CF181E"/>
    <w:rsid w:val="29EC3DAC"/>
    <w:rsid w:val="2A264090"/>
    <w:rsid w:val="2A355B25"/>
    <w:rsid w:val="2A5C7555"/>
    <w:rsid w:val="2A6C52BE"/>
    <w:rsid w:val="2B520958"/>
    <w:rsid w:val="2B6F28F5"/>
    <w:rsid w:val="2B6F55CF"/>
    <w:rsid w:val="2BD466CA"/>
    <w:rsid w:val="2BEB6DE3"/>
    <w:rsid w:val="2C043A01"/>
    <w:rsid w:val="2C531232"/>
    <w:rsid w:val="2CA07839"/>
    <w:rsid w:val="2D047A30"/>
    <w:rsid w:val="2D2D6F87"/>
    <w:rsid w:val="2DA76D39"/>
    <w:rsid w:val="2DEC6DA9"/>
    <w:rsid w:val="2E2C5491"/>
    <w:rsid w:val="2E9D1A0C"/>
    <w:rsid w:val="2F5C0D51"/>
    <w:rsid w:val="2FDA77E1"/>
    <w:rsid w:val="300D72CC"/>
    <w:rsid w:val="30405223"/>
    <w:rsid w:val="30B978AD"/>
    <w:rsid w:val="31081922"/>
    <w:rsid w:val="314174A5"/>
    <w:rsid w:val="31464ABB"/>
    <w:rsid w:val="31A11CF2"/>
    <w:rsid w:val="31BD23A5"/>
    <w:rsid w:val="31CD6F8B"/>
    <w:rsid w:val="323E5792"/>
    <w:rsid w:val="32B02AEC"/>
    <w:rsid w:val="332E1CAB"/>
    <w:rsid w:val="337726A7"/>
    <w:rsid w:val="338D077F"/>
    <w:rsid w:val="33C30645"/>
    <w:rsid w:val="34044EE1"/>
    <w:rsid w:val="34207846"/>
    <w:rsid w:val="35BC359E"/>
    <w:rsid w:val="365E4F6F"/>
    <w:rsid w:val="36D6243D"/>
    <w:rsid w:val="3747259D"/>
    <w:rsid w:val="37620175"/>
    <w:rsid w:val="37950099"/>
    <w:rsid w:val="379D2F5B"/>
    <w:rsid w:val="37AE4A52"/>
    <w:rsid w:val="38C40AA6"/>
    <w:rsid w:val="38DB60E6"/>
    <w:rsid w:val="39194863"/>
    <w:rsid w:val="39822409"/>
    <w:rsid w:val="3A045513"/>
    <w:rsid w:val="3A576901"/>
    <w:rsid w:val="3A663AD8"/>
    <w:rsid w:val="3B3140E6"/>
    <w:rsid w:val="3BDC04F6"/>
    <w:rsid w:val="3BF764BC"/>
    <w:rsid w:val="3C522566"/>
    <w:rsid w:val="3C7624CD"/>
    <w:rsid w:val="3CC1149A"/>
    <w:rsid w:val="3D032B65"/>
    <w:rsid w:val="3D7C3859"/>
    <w:rsid w:val="3EE80F60"/>
    <w:rsid w:val="3F073ADC"/>
    <w:rsid w:val="4027003D"/>
    <w:rsid w:val="40642868"/>
    <w:rsid w:val="40D4373D"/>
    <w:rsid w:val="40D5502B"/>
    <w:rsid w:val="41A53138"/>
    <w:rsid w:val="41EA3241"/>
    <w:rsid w:val="425D1C65"/>
    <w:rsid w:val="4262727B"/>
    <w:rsid w:val="42674EE5"/>
    <w:rsid w:val="42D42037"/>
    <w:rsid w:val="42DC0504"/>
    <w:rsid w:val="42E303BC"/>
    <w:rsid w:val="43616E7D"/>
    <w:rsid w:val="43747266"/>
    <w:rsid w:val="438F661B"/>
    <w:rsid w:val="439518B3"/>
    <w:rsid w:val="43B458B4"/>
    <w:rsid w:val="446F063A"/>
    <w:rsid w:val="44B6499C"/>
    <w:rsid w:val="4542345E"/>
    <w:rsid w:val="45570BED"/>
    <w:rsid w:val="45765089"/>
    <w:rsid w:val="45AA51C1"/>
    <w:rsid w:val="462036D5"/>
    <w:rsid w:val="46C24BA5"/>
    <w:rsid w:val="474A3B9E"/>
    <w:rsid w:val="47C003E5"/>
    <w:rsid w:val="483671E0"/>
    <w:rsid w:val="4848391D"/>
    <w:rsid w:val="48BB1493"/>
    <w:rsid w:val="48D16F09"/>
    <w:rsid w:val="48EF7956"/>
    <w:rsid w:val="4A8F0E29"/>
    <w:rsid w:val="4AD056CA"/>
    <w:rsid w:val="4B4B1FAE"/>
    <w:rsid w:val="4BC87E8A"/>
    <w:rsid w:val="4CA67C81"/>
    <w:rsid w:val="4CEA7E6E"/>
    <w:rsid w:val="4D151ABA"/>
    <w:rsid w:val="4D461C73"/>
    <w:rsid w:val="4E345F70"/>
    <w:rsid w:val="4E946A0E"/>
    <w:rsid w:val="4ECF65DB"/>
    <w:rsid w:val="4EDD2163"/>
    <w:rsid w:val="4F1F277C"/>
    <w:rsid w:val="4FB355BA"/>
    <w:rsid w:val="503404A9"/>
    <w:rsid w:val="50504A55"/>
    <w:rsid w:val="50874A7C"/>
    <w:rsid w:val="50B11AF9"/>
    <w:rsid w:val="50D86F9C"/>
    <w:rsid w:val="50EF2A97"/>
    <w:rsid w:val="511856D5"/>
    <w:rsid w:val="51A74EF3"/>
    <w:rsid w:val="523F3135"/>
    <w:rsid w:val="526D18EF"/>
    <w:rsid w:val="52913E6A"/>
    <w:rsid w:val="529C5288"/>
    <w:rsid w:val="52A95399"/>
    <w:rsid w:val="541C54DC"/>
    <w:rsid w:val="54C448CE"/>
    <w:rsid w:val="54E3249D"/>
    <w:rsid w:val="551663CF"/>
    <w:rsid w:val="5578402A"/>
    <w:rsid w:val="559612BE"/>
    <w:rsid w:val="55B0580B"/>
    <w:rsid w:val="55E26BF6"/>
    <w:rsid w:val="56C02A96"/>
    <w:rsid w:val="56FE536D"/>
    <w:rsid w:val="57824451"/>
    <w:rsid w:val="581035A9"/>
    <w:rsid w:val="584063F0"/>
    <w:rsid w:val="58F85DEC"/>
    <w:rsid w:val="59013441"/>
    <w:rsid w:val="5909268A"/>
    <w:rsid w:val="59853B23"/>
    <w:rsid w:val="5A997C79"/>
    <w:rsid w:val="5AD7215D"/>
    <w:rsid w:val="5B0647F0"/>
    <w:rsid w:val="5B19266E"/>
    <w:rsid w:val="5B8B1199"/>
    <w:rsid w:val="5BB04C2C"/>
    <w:rsid w:val="5BC53F6F"/>
    <w:rsid w:val="5C2313D1"/>
    <w:rsid w:val="5C867FAD"/>
    <w:rsid w:val="5D4810F0"/>
    <w:rsid w:val="5D647EF4"/>
    <w:rsid w:val="5E197728"/>
    <w:rsid w:val="5E4E6523"/>
    <w:rsid w:val="5F313E05"/>
    <w:rsid w:val="5F4B4EC7"/>
    <w:rsid w:val="5FBC2EAC"/>
    <w:rsid w:val="5FC77BFC"/>
    <w:rsid w:val="606A72E3"/>
    <w:rsid w:val="614147D4"/>
    <w:rsid w:val="618525F4"/>
    <w:rsid w:val="61B52BB6"/>
    <w:rsid w:val="61E909C7"/>
    <w:rsid w:val="61F665F1"/>
    <w:rsid w:val="622F287E"/>
    <w:rsid w:val="624A590A"/>
    <w:rsid w:val="6256605D"/>
    <w:rsid w:val="62681703"/>
    <w:rsid w:val="62C31A1B"/>
    <w:rsid w:val="62F810E9"/>
    <w:rsid w:val="63204010"/>
    <w:rsid w:val="63442359"/>
    <w:rsid w:val="635822A8"/>
    <w:rsid w:val="63F7386F"/>
    <w:rsid w:val="648D1ADE"/>
    <w:rsid w:val="651A2071"/>
    <w:rsid w:val="66546D57"/>
    <w:rsid w:val="67277FC8"/>
    <w:rsid w:val="67535261"/>
    <w:rsid w:val="677956E9"/>
    <w:rsid w:val="67952A23"/>
    <w:rsid w:val="67A54D96"/>
    <w:rsid w:val="68905759"/>
    <w:rsid w:val="68EB3277"/>
    <w:rsid w:val="693966D8"/>
    <w:rsid w:val="69450B30"/>
    <w:rsid w:val="695D5F23"/>
    <w:rsid w:val="698A0CE2"/>
    <w:rsid w:val="698E7C07"/>
    <w:rsid w:val="699C2263"/>
    <w:rsid w:val="69FC44B0"/>
    <w:rsid w:val="6A221CCC"/>
    <w:rsid w:val="6AA12AE5"/>
    <w:rsid w:val="6B457299"/>
    <w:rsid w:val="6B713F07"/>
    <w:rsid w:val="6B924C11"/>
    <w:rsid w:val="6C3D64DF"/>
    <w:rsid w:val="6CA634AC"/>
    <w:rsid w:val="6CEE3336"/>
    <w:rsid w:val="6D257B8B"/>
    <w:rsid w:val="6DE035C6"/>
    <w:rsid w:val="6E0A777F"/>
    <w:rsid w:val="6E0E1190"/>
    <w:rsid w:val="6E427DDD"/>
    <w:rsid w:val="6E527FB0"/>
    <w:rsid w:val="6EC439C2"/>
    <w:rsid w:val="6EE60768"/>
    <w:rsid w:val="6F135C71"/>
    <w:rsid w:val="6F1572A0"/>
    <w:rsid w:val="6F1D0EF1"/>
    <w:rsid w:val="6F467459"/>
    <w:rsid w:val="6F80296B"/>
    <w:rsid w:val="6FCF744E"/>
    <w:rsid w:val="6FFB1610"/>
    <w:rsid w:val="700A0487"/>
    <w:rsid w:val="70FA6D46"/>
    <w:rsid w:val="71213CDA"/>
    <w:rsid w:val="716B31A7"/>
    <w:rsid w:val="717643E7"/>
    <w:rsid w:val="726273B2"/>
    <w:rsid w:val="72802C82"/>
    <w:rsid w:val="72835DCF"/>
    <w:rsid w:val="72897D89"/>
    <w:rsid w:val="72E2393D"/>
    <w:rsid w:val="72E707EF"/>
    <w:rsid w:val="730B69EF"/>
    <w:rsid w:val="733C6F85"/>
    <w:rsid w:val="738238D4"/>
    <w:rsid w:val="73D9089C"/>
    <w:rsid w:val="7488443F"/>
    <w:rsid w:val="75151DA7"/>
    <w:rsid w:val="755F4997"/>
    <w:rsid w:val="765468FF"/>
    <w:rsid w:val="76634D94"/>
    <w:rsid w:val="768F7AF6"/>
    <w:rsid w:val="76D4314C"/>
    <w:rsid w:val="76F31C74"/>
    <w:rsid w:val="7761127E"/>
    <w:rsid w:val="77794C6D"/>
    <w:rsid w:val="781D71EE"/>
    <w:rsid w:val="78686692"/>
    <w:rsid w:val="78FD327E"/>
    <w:rsid w:val="79652BD2"/>
    <w:rsid w:val="7A066163"/>
    <w:rsid w:val="7A2605B3"/>
    <w:rsid w:val="7B0D7956"/>
    <w:rsid w:val="7BEE6EAE"/>
    <w:rsid w:val="7BF5648F"/>
    <w:rsid w:val="7BF62924"/>
    <w:rsid w:val="7C6210BC"/>
    <w:rsid w:val="7C7750F6"/>
    <w:rsid w:val="7C977546"/>
    <w:rsid w:val="7D690EE2"/>
    <w:rsid w:val="7DC9372F"/>
    <w:rsid w:val="7DDD0F99"/>
    <w:rsid w:val="7DFD162B"/>
    <w:rsid w:val="7E880E0B"/>
    <w:rsid w:val="7ED625A7"/>
    <w:rsid w:val="7F4C0323"/>
    <w:rsid w:val="7F4C4618"/>
    <w:rsid w:val="7F92054D"/>
    <w:rsid w:val="7F9B4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kern w:val="2"/>
      <w:sz w:val="18"/>
      <w:szCs w:val="18"/>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批注框文本 字符"/>
    <w:basedOn w:val="7"/>
    <w:link w:val="2"/>
    <w:semiHidden/>
    <w:qFormat/>
    <w:uiPriority w:val="99"/>
    <w:rPr>
      <w:rFonts w:ascii="Times New Roman" w:hAnsi="Times New Roman"/>
      <w:kern w:val="2"/>
      <w:sz w:val="18"/>
      <w:szCs w:val="18"/>
    </w:rPr>
  </w:style>
  <w:style w:type="paragraph" w:customStyle="1" w:styleId="1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2230</Words>
  <Characters>2353</Characters>
  <Lines>1</Lines>
  <Paragraphs>1</Paragraphs>
  <TotalTime>328</TotalTime>
  <ScaleCrop>false</ScaleCrop>
  <LinksUpToDate>false</LinksUpToDate>
  <CharactersWithSpaces>2447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2023-09-22T00:44:00Z</dcterms:created>
  <dc:creator>pc</dc:creator>
  <cp:lastModifiedBy>WZ</cp:lastModifiedBy>
  <cp:lastPrinted>2017-11-06T02:12:00Z</cp:lastPrinted>
  <dcterms:modified xsi:type="dcterms:W3CDTF">2025-05-30T11:18:52Z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0F8B9BFDE05D4B62967F67DD66F7EAE7</vt:lpwstr>
  </property>
  <property fmtid="{D5CDD505-2E9C-101B-9397-08002B2CF9AE}" pid="4" name="KSOTemplateDocerSaveRecord">
    <vt:lpwstr>eyJoZGlkIjoiZmJlNTRkODU4Mzc2YjVhMzdlN2ZiN2EyZjE2YWUxN2EiLCJ1c2VySWQiOiI0MTgwNTk0NTEifQ==</vt:lpwstr>
  </property>
</Properties>
</file>