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7835" w14:textId="5DD17B34" w:rsidR="009B74E9" w:rsidRDefault="00000000">
      <w:pPr>
        <w:spacing w:beforeLines="50" w:before="156" w:afterLines="50" w:after="156" w:line="400" w:lineRule="exact"/>
        <w:ind w:firstLineChars="300" w:firstLine="723"/>
        <w:rPr>
          <w:rFonts w:ascii="宋体" w:hAnsi="宋体" w:hint="eastAsia"/>
          <w:b/>
          <w:bCs/>
          <w:iCs/>
          <w:sz w:val="24"/>
        </w:rPr>
      </w:pPr>
      <w:r>
        <w:rPr>
          <w:rFonts w:ascii="宋体" w:hAnsi="宋体" w:hint="eastAsia"/>
          <w:b/>
          <w:bCs/>
          <w:iCs/>
          <w:sz w:val="24"/>
        </w:rPr>
        <w:t>证券代码：</w:t>
      </w:r>
      <w:r w:rsidR="0048673F">
        <w:rPr>
          <w:rFonts w:ascii="宋体" w:hAnsi="宋体" w:hint="eastAsia"/>
          <w:b/>
          <w:bCs/>
          <w:iCs/>
          <w:sz w:val="24"/>
        </w:rPr>
        <w:t>603194</w:t>
      </w:r>
      <w:r>
        <w:rPr>
          <w:rFonts w:ascii="宋体" w:hAnsi="宋体" w:hint="eastAsia"/>
          <w:b/>
          <w:bCs/>
          <w:iCs/>
          <w:sz w:val="24"/>
        </w:rPr>
        <w:t xml:space="preserve">                           证券简称：</w:t>
      </w:r>
      <w:r w:rsidR="0048673F">
        <w:rPr>
          <w:rFonts w:ascii="宋体" w:hAnsi="宋体" w:hint="eastAsia"/>
          <w:b/>
          <w:bCs/>
          <w:iCs/>
          <w:sz w:val="24"/>
        </w:rPr>
        <w:t>中力股份</w:t>
      </w:r>
    </w:p>
    <w:p w14:paraId="57AE5FCC" w14:textId="1EA36E59" w:rsidR="009B74E9" w:rsidRDefault="0048673F">
      <w:pPr>
        <w:autoSpaceDE w:val="0"/>
        <w:autoSpaceDN w:val="0"/>
        <w:adjustRightInd w:val="0"/>
        <w:snapToGrid w:val="0"/>
        <w:ind w:left="141" w:hangingChars="50" w:hanging="141"/>
        <w:jc w:val="center"/>
        <w:rPr>
          <w:rFonts w:asciiTheme="minorEastAsia" w:eastAsiaTheme="minorEastAsia" w:hAnsiTheme="minorEastAsia" w:hint="eastAsia"/>
          <w:b/>
          <w:sz w:val="28"/>
          <w:szCs w:val="24"/>
        </w:rPr>
      </w:pPr>
      <w:r>
        <w:rPr>
          <w:rFonts w:asciiTheme="minorEastAsia" w:eastAsiaTheme="minorEastAsia" w:hAnsiTheme="minorEastAsia" w:hint="eastAsia"/>
          <w:b/>
          <w:sz w:val="28"/>
          <w:szCs w:val="24"/>
        </w:rPr>
        <w:t>浙江中力机械股份有限公司投资者关系活动记录表</w:t>
      </w:r>
    </w:p>
    <w:p w14:paraId="579DE714" w14:textId="143E378C" w:rsidR="009B74E9" w:rsidRDefault="00000000">
      <w:pPr>
        <w:spacing w:line="400" w:lineRule="exact"/>
        <w:rPr>
          <w:rFonts w:ascii="宋体" w:hAnsi="宋体" w:hint="eastAsia"/>
          <w:bCs/>
          <w:iCs/>
          <w:sz w:val="24"/>
          <w:szCs w:val="24"/>
        </w:rPr>
      </w:pPr>
      <w:r>
        <w:rPr>
          <w:rFonts w:ascii="宋体" w:hAnsi="宋体" w:hint="eastAsia"/>
          <w:bCs/>
          <w:iCs/>
          <w:sz w:val="24"/>
          <w:szCs w:val="24"/>
        </w:rPr>
        <w:t xml:space="preserve">                                                      编号：202</w:t>
      </w:r>
      <w:r w:rsidR="0048673F">
        <w:rPr>
          <w:rFonts w:ascii="宋体" w:hAnsi="宋体" w:hint="eastAsia"/>
          <w:bCs/>
          <w:iCs/>
          <w:sz w:val="24"/>
          <w:szCs w:val="24"/>
        </w:rPr>
        <w:t>5</w:t>
      </w:r>
      <w:r>
        <w:rPr>
          <w:rFonts w:ascii="宋体" w:hAnsi="宋体" w:hint="eastAsia"/>
          <w:bCs/>
          <w:iCs/>
          <w:sz w:val="24"/>
          <w:szCs w:val="24"/>
        </w:rPr>
        <w:t>-00</w:t>
      </w:r>
      <w:r w:rsidR="002C236D">
        <w:rPr>
          <w:rFonts w:ascii="宋体" w:hAnsi="宋体" w:hint="eastAsia"/>
          <w:bCs/>
          <w:iCs/>
          <w:sz w:val="24"/>
          <w:szCs w:val="24"/>
        </w:rPr>
        <w:t>4</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9B74E9" w14:paraId="29E81A26" w14:textId="77777777">
        <w:trPr>
          <w:trHeight w:val="2649"/>
        </w:trPr>
        <w:tc>
          <w:tcPr>
            <w:tcW w:w="1931" w:type="dxa"/>
            <w:shd w:val="clear" w:color="auto" w:fill="auto"/>
            <w:vAlign w:val="center"/>
          </w:tcPr>
          <w:p w14:paraId="5FB6DF87" w14:textId="77777777" w:rsidR="009B74E9" w:rsidRDefault="00000000">
            <w:pPr>
              <w:rPr>
                <w:rFonts w:ascii="宋体" w:hAnsi="宋体" w:hint="eastAsia"/>
                <w:b/>
                <w:bCs/>
                <w:iCs/>
                <w:sz w:val="24"/>
                <w:szCs w:val="24"/>
              </w:rPr>
            </w:pPr>
            <w:r>
              <w:rPr>
                <w:rFonts w:ascii="宋体" w:hAnsi="宋体" w:hint="eastAsia"/>
                <w:b/>
                <w:bCs/>
                <w:iCs/>
                <w:sz w:val="24"/>
                <w:szCs w:val="24"/>
              </w:rPr>
              <w:t>投资者关系</w:t>
            </w:r>
          </w:p>
          <w:p w14:paraId="05AA2227" w14:textId="77777777" w:rsidR="009B74E9" w:rsidRDefault="00000000">
            <w:pPr>
              <w:rPr>
                <w:rFonts w:ascii="宋体" w:hAnsi="宋体" w:hint="eastAsia"/>
                <w:b/>
                <w:bCs/>
                <w:iCs/>
                <w:sz w:val="24"/>
                <w:szCs w:val="24"/>
              </w:rPr>
            </w:pPr>
            <w:r>
              <w:rPr>
                <w:rFonts w:ascii="宋体" w:hAnsi="宋体" w:hint="eastAsia"/>
                <w:b/>
                <w:bCs/>
                <w:iCs/>
                <w:sz w:val="24"/>
                <w:szCs w:val="24"/>
              </w:rPr>
              <w:t>活动类别</w:t>
            </w:r>
          </w:p>
          <w:p w14:paraId="6AECD90E" w14:textId="77777777" w:rsidR="009B74E9" w:rsidRDefault="009B74E9">
            <w:pPr>
              <w:rPr>
                <w:rFonts w:ascii="宋体" w:hAnsi="宋体" w:hint="eastAsia"/>
                <w:b/>
                <w:bCs/>
                <w:iCs/>
                <w:sz w:val="24"/>
                <w:szCs w:val="24"/>
              </w:rPr>
            </w:pPr>
          </w:p>
        </w:tc>
        <w:tc>
          <w:tcPr>
            <w:tcW w:w="6693" w:type="dxa"/>
            <w:shd w:val="clear" w:color="auto" w:fill="auto"/>
          </w:tcPr>
          <w:p w14:paraId="1B4FD258" w14:textId="07B953EB" w:rsidR="009B74E9" w:rsidRDefault="002C236D">
            <w:pPr>
              <w:spacing w:line="480" w:lineRule="atLeast"/>
              <w:rPr>
                <w:rFonts w:ascii="宋体" w:hAnsi="宋体" w:hint="eastAsia"/>
                <w:bCs/>
                <w:iCs/>
                <w:sz w:val="24"/>
                <w:szCs w:val="24"/>
              </w:rPr>
            </w:pPr>
            <w:r w:rsidRPr="002C236D">
              <w:rPr>
                <w:rFonts w:ascii="宋体" w:hAnsi="宋体" w:hint="eastAsia"/>
                <w:sz w:val="24"/>
                <w:szCs w:val="24"/>
              </w:rPr>
              <w:t>√</w:t>
            </w:r>
            <w:r w:rsidR="005D5D85">
              <w:rPr>
                <w:rFonts w:ascii="宋体" w:hAnsi="宋体" w:hint="eastAsia"/>
                <w:sz w:val="24"/>
                <w:szCs w:val="24"/>
              </w:rPr>
              <w:t xml:space="preserve">特定对象调研        </w:t>
            </w:r>
            <w:r w:rsidR="005D5D85">
              <w:rPr>
                <w:rFonts w:ascii="宋体" w:hAnsi="宋体" w:hint="eastAsia"/>
                <w:bCs/>
                <w:iCs/>
                <w:sz w:val="24"/>
                <w:szCs w:val="24"/>
              </w:rPr>
              <w:t>□</w:t>
            </w:r>
            <w:r w:rsidR="005D5D85">
              <w:rPr>
                <w:rFonts w:ascii="宋体" w:hAnsi="宋体" w:hint="eastAsia"/>
                <w:sz w:val="24"/>
                <w:szCs w:val="24"/>
              </w:rPr>
              <w:t>分析师会议</w:t>
            </w:r>
          </w:p>
          <w:p w14:paraId="60452EF1" w14:textId="77777777" w:rsidR="009B74E9"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926BD80" w14:textId="77777777" w:rsidR="009B74E9"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E40AB32" w14:textId="3566AADA" w:rsidR="009B74E9" w:rsidRDefault="002C236D">
            <w:pPr>
              <w:tabs>
                <w:tab w:val="left" w:pos="3045"/>
                <w:tab w:val="center" w:pos="3199"/>
              </w:tabs>
              <w:spacing w:line="480" w:lineRule="atLeast"/>
              <w:rPr>
                <w:rFonts w:ascii="宋体" w:hAnsi="宋体" w:hint="eastAsia"/>
                <w:bCs/>
                <w:iCs/>
                <w:sz w:val="24"/>
                <w:szCs w:val="24"/>
              </w:rPr>
            </w:pPr>
            <w:r w:rsidRPr="002C236D">
              <w:rPr>
                <w:rFonts w:ascii="宋体" w:hAnsi="宋体" w:hint="eastAsia"/>
                <w:bCs/>
                <w:iCs/>
                <w:sz w:val="24"/>
                <w:szCs w:val="24"/>
              </w:rPr>
              <w:t>□</w:t>
            </w:r>
            <w:r w:rsidR="002A5AE9">
              <w:rPr>
                <w:rFonts w:ascii="宋体" w:hAnsi="宋体" w:hint="eastAsia"/>
                <w:sz w:val="24"/>
                <w:szCs w:val="24"/>
              </w:rPr>
              <w:t>现场参观</w:t>
            </w:r>
            <w:r w:rsidR="002A5AE9">
              <w:rPr>
                <w:rFonts w:ascii="宋体" w:hAnsi="宋体"/>
                <w:bCs/>
                <w:iCs/>
                <w:sz w:val="24"/>
                <w:szCs w:val="24"/>
              </w:rPr>
              <w:tab/>
            </w:r>
          </w:p>
          <w:p w14:paraId="51F472E2" w14:textId="77777777" w:rsidR="009B74E9" w:rsidRDefault="00000000">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9B74E9" w14:paraId="59C87D13" w14:textId="77777777">
        <w:trPr>
          <w:trHeight w:val="844"/>
        </w:trPr>
        <w:tc>
          <w:tcPr>
            <w:tcW w:w="1931" w:type="dxa"/>
            <w:shd w:val="clear" w:color="auto" w:fill="auto"/>
            <w:vAlign w:val="center"/>
          </w:tcPr>
          <w:p w14:paraId="483FF9AC" w14:textId="77777777" w:rsidR="009B74E9" w:rsidRDefault="00000000">
            <w:pPr>
              <w:rPr>
                <w:rFonts w:ascii="宋体" w:hAnsi="宋体" w:hint="eastAsia"/>
                <w:b/>
                <w:bCs/>
                <w:iCs/>
                <w:sz w:val="24"/>
                <w:szCs w:val="24"/>
              </w:rPr>
            </w:pPr>
            <w:r>
              <w:rPr>
                <w:rFonts w:ascii="宋体" w:hAnsi="宋体" w:hint="eastAsia"/>
                <w:b/>
                <w:bCs/>
                <w:iCs/>
                <w:sz w:val="24"/>
                <w:szCs w:val="24"/>
              </w:rPr>
              <w:t>参与单位名称</w:t>
            </w:r>
          </w:p>
          <w:p w14:paraId="595A1B77" w14:textId="77777777" w:rsidR="009B74E9" w:rsidRDefault="00000000">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65094B9F" w14:textId="4C83A549" w:rsidR="009B74E9" w:rsidRDefault="002C236D">
            <w:pPr>
              <w:spacing w:line="480" w:lineRule="atLeast"/>
              <w:rPr>
                <w:rFonts w:ascii="宋体" w:hAnsi="宋体"/>
                <w:bCs/>
                <w:iCs/>
                <w:sz w:val="24"/>
                <w:szCs w:val="24"/>
              </w:rPr>
            </w:pPr>
            <w:r w:rsidRPr="002C236D">
              <w:rPr>
                <w:rFonts w:ascii="宋体" w:hAnsi="宋体" w:hint="eastAsia"/>
                <w:bCs/>
                <w:iCs/>
                <w:sz w:val="24"/>
                <w:szCs w:val="24"/>
              </w:rPr>
              <w:t>广发基金管理有限公司</w:t>
            </w:r>
            <w:r w:rsidR="00B9522E">
              <w:rPr>
                <w:rFonts w:ascii="宋体" w:hAnsi="宋体" w:hint="eastAsia"/>
                <w:bCs/>
                <w:iCs/>
                <w:sz w:val="24"/>
                <w:szCs w:val="24"/>
              </w:rPr>
              <w:t xml:space="preserve">  </w:t>
            </w:r>
            <w:r w:rsidRPr="002C236D">
              <w:rPr>
                <w:rFonts w:ascii="宋体" w:hAnsi="宋体" w:hint="eastAsia"/>
                <w:bCs/>
                <w:iCs/>
                <w:sz w:val="24"/>
                <w:szCs w:val="24"/>
              </w:rPr>
              <w:t>何珏威</w:t>
            </w:r>
          </w:p>
          <w:p w14:paraId="4A3E60A0" w14:textId="244FC87E" w:rsidR="002C236D" w:rsidRDefault="002C236D">
            <w:pPr>
              <w:spacing w:line="480" w:lineRule="atLeast"/>
              <w:rPr>
                <w:rFonts w:ascii="宋体" w:hAnsi="宋体"/>
                <w:bCs/>
                <w:iCs/>
                <w:sz w:val="24"/>
                <w:szCs w:val="24"/>
              </w:rPr>
            </w:pPr>
            <w:r w:rsidRPr="002C236D">
              <w:rPr>
                <w:rFonts w:ascii="宋体" w:hAnsi="宋体" w:hint="eastAsia"/>
                <w:bCs/>
                <w:iCs/>
                <w:sz w:val="24"/>
                <w:szCs w:val="24"/>
              </w:rPr>
              <w:t>广发基金管理有限公司</w:t>
            </w:r>
            <w:r>
              <w:rPr>
                <w:rFonts w:ascii="宋体" w:hAnsi="宋体" w:hint="eastAsia"/>
                <w:bCs/>
                <w:iCs/>
                <w:sz w:val="24"/>
                <w:szCs w:val="24"/>
              </w:rPr>
              <w:t xml:space="preserve">  </w:t>
            </w:r>
            <w:r w:rsidRPr="002C236D">
              <w:rPr>
                <w:rFonts w:ascii="宋体" w:hAnsi="宋体" w:hint="eastAsia"/>
                <w:bCs/>
                <w:iCs/>
                <w:sz w:val="24"/>
                <w:szCs w:val="24"/>
              </w:rPr>
              <w:t>张毅</w:t>
            </w:r>
          </w:p>
          <w:p w14:paraId="0AFE8541" w14:textId="1E5B85D6" w:rsidR="002C236D" w:rsidRDefault="002C236D">
            <w:pPr>
              <w:spacing w:line="480" w:lineRule="atLeast"/>
              <w:rPr>
                <w:rFonts w:ascii="宋体" w:hAnsi="宋体" w:hint="eastAsia"/>
                <w:bCs/>
                <w:iCs/>
                <w:sz w:val="24"/>
                <w:szCs w:val="24"/>
              </w:rPr>
            </w:pPr>
            <w:r w:rsidRPr="002C236D">
              <w:rPr>
                <w:rFonts w:ascii="宋体" w:hAnsi="宋体" w:hint="eastAsia"/>
                <w:bCs/>
                <w:iCs/>
                <w:sz w:val="24"/>
                <w:szCs w:val="24"/>
              </w:rPr>
              <w:t>广发基金管理有限公司</w:t>
            </w:r>
            <w:r>
              <w:rPr>
                <w:rFonts w:ascii="宋体" w:hAnsi="宋体" w:hint="eastAsia"/>
                <w:bCs/>
                <w:iCs/>
                <w:sz w:val="24"/>
                <w:szCs w:val="24"/>
              </w:rPr>
              <w:t xml:space="preserve">  </w:t>
            </w:r>
            <w:r w:rsidRPr="002C236D">
              <w:rPr>
                <w:rFonts w:ascii="宋体" w:hAnsi="宋体" w:hint="eastAsia"/>
                <w:bCs/>
                <w:iCs/>
                <w:sz w:val="24"/>
                <w:szCs w:val="24"/>
              </w:rPr>
              <w:t>曹越</w:t>
            </w:r>
          </w:p>
          <w:p w14:paraId="70DC9838" w14:textId="62BB658C" w:rsidR="005D4382" w:rsidRDefault="002C236D">
            <w:pPr>
              <w:spacing w:line="480" w:lineRule="atLeast"/>
              <w:rPr>
                <w:rFonts w:ascii="宋体" w:hAnsi="宋体" w:hint="eastAsia"/>
                <w:bCs/>
                <w:iCs/>
                <w:sz w:val="24"/>
                <w:szCs w:val="24"/>
              </w:rPr>
            </w:pPr>
            <w:r w:rsidRPr="002C236D">
              <w:rPr>
                <w:rFonts w:ascii="宋体" w:hAnsi="宋体" w:hint="eastAsia"/>
                <w:bCs/>
                <w:iCs/>
                <w:sz w:val="24"/>
                <w:szCs w:val="24"/>
              </w:rPr>
              <w:t>国泰海通证券股份有限公司</w:t>
            </w:r>
            <w:r>
              <w:rPr>
                <w:rFonts w:ascii="宋体" w:hAnsi="宋体" w:hint="eastAsia"/>
                <w:bCs/>
                <w:iCs/>
                <w:sz w:val="24"/>
                <w:szCs w:val="24"/>
              </w:rPr>
              <w:t xml:space="preserve">  </w:t>
            </w:r>
            <w:r w:rsidRPr="002C236D">
              <w:rPr>
                <w:rFonts w:ascii="宋体" w:hAnsi="宋体" w:hint="eastAsia"/>
                <w:bCs/>
                <w:iCs/>
                <w:sz w:val="24"/>
                <w:szCs w:val="24"/>
              </w:rPr>
              <w:t>欧阳天奕</w:t>
            </w:r>
          </w:p>
        </w:tc>
      </w:tr>
      <w:tr w:rsidR="009B74E9" w14:paraId="6DDC7F36" w14:textId="77777777">
        <w:trPr>
          <w:trHeight w:val="588"/>
        </w:trPr>
        <w:tc>
          <w:tcPr>
            <w:tcW w:w="1931" w:type="dxa"/>
            <w:shd w:val="clear" w:color="auto" w:fill="auto"/>
            <w:vAlign w:val="center"/>
          </w:tcPr>
          <w:p w14:paraId="7B732EEB" w14:textId="77777777" w:rsidR="009B74E9" w:rsidRDefault="00000000">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CDBF897" w14:textId="3A66D3D8" w:rsidR="009B74E9" w:rsidRDefault="005D5D85">
            <w:pPr>
              <w:spacing w:line="480" w:lineRule="atLeast"/>
              <w:rPr>
                <w:rFonts w:ascii="宋体" w:hAnsi="宋体" w:hint="eastAsia"/>
                <w:bCs/>
                <w:iCs/>
                <w:sz w:val="24"/>
                <w:szCs w:val="24"/>
              </w:rPr>
            </w:pPr>
            <w:r>
              <w:rPr>
                <w:rFonts w:ascii="宋体" w:hAnsi="宋体" w:hint="eastAsia"/>
                <w:bCs/>
                <w:iCs/>
                <w:sz w:val="24"/>
                <w:szCs w:val="24"/>
              </w:rPr>
              <w:t>2025年0</w:t>
            </w:r>
            <w:r w:rsidR="002C236D">
              <w:rPr>
                <w:rFonts w:ascii="宋体" w:hAnsi="宋体" w:hint="eastAsia"/>
                <w:bCs/>
                <w:iCs/>
                <w:sz w:val="24"/>
                <w:szCs w:val="24"/>
              </w:rPr>
              <w:t>6</w:t>
            </w:r>
            <w:r>
              <w:rPr>
                <w:rFonts w:ascii="宋体" w:hAnsi="宋体" w:hint="eastAsia"/>
                <w:bCs/>
                <w:iCs/>
                <w:sz w:val="24"/>
                <w:szCs w:val="24"/>
              </w:rPr>
              <w:t>月</w:t>
            </w:r>
            <w:r w:rsidR="002C236D">
              <w:rPr>
                <w:rFonts w:ascii="宋体" w:hAnsi="宋体" w:hint="eastAsia"/>
                <w:bCs/>
                <w:iCs/>
                <w:sz w:val="24"/>
                <w:szCs w:val="24"/>
              </w:rPr>
              <w:t>04</w:t>
            </w:r>
            <w:r>
              <w:rPr>
                <w:rFonts w:ascii="宋体" w:hAnsi="宋体" w:hint="eastAsia"/>
                <w:bCs/>
                <w:iCs/>
                <w:sz w:val="24"/>
                <w:szCs w:val="24"/>
              </w:rPr>
              <w:t>日</w:t>
            </w:r>
          </w:p>
        </w:tc>
      </w:tr>
      <w:tr w:rsidR="009B74E9" w14:paraId="3551741A" w14:textId="77777777">
        <w:trPr>
          <w:trHeight w:val="524"/>
        </w:trPr>
        <w:tc>
          <w:tcPr>
            <w:tcW w:w="1931" w:type="dxa"/>
            <w:shd w:val="clear" w:color="auto" w:fill="auto"/>
            <w:vAlign w:val="center"/>
          </w:tcPr>
          <w:p w14:paraId="3F0929F6" w14:textId="77777777" w:rsidR="009B74E9" w:rsidRDefault="00000000">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5D9B9935" w14:textId="48ACAC07" w:rsidR="009B74E9" w:rsidRDefault="002C236D">
            <w:pPr>
              <w:spacing w:line="480" w:lineRule="atLeast"/>
              <w:rPr>
                <w:rFonts w:ascii="宋体" w:hAnsi="宋体" w:hint="eastAsia"/>
                <w:bCs/>
                <w:iCs/>
                <w:sz w:val="24"/>
                <w:szCs w:val="24"/>
              </w:rPr>
            </w:pPr>
            <w:r>
              <w:rPr>
                <w:rFonts w:ascii="宋体" w:hAnsi="宋体" w:hint="eastAsia"/>
                <w:bCs/>
                <w:iCs/>
                <w:sz w:val="24"/>
                <w:szCs w:val="24"/>
              </w:rPr>
              <w:t>线上</w:t>
            </w:r>
          </w:p>
        </w:tc>
      </w:tr>
      <w:tr w:rsidR="009B74E9" w14:paraId="1E2E09E4" w14:textId="77777777">
        <w:trPr>
          <w:trHeight w:val="702"/>
        </w:trPr>
        <w:tc>
          <w:tcPr>
            <w:tcW w:w="1931" w:type="dxa"/>
            <w:shd w:val="clear" w:color="auto" w:fill="auto"/>
            <w:vAlign w:val="center"/>
          </w:tcPr>
          <w:p w14:paraId="10DFC7DD" w14:textId="77777777" w:rsidR="009B74E9" w:rsidRDefault="00000000">
            <w:pPr>
              <w:rPr>
                <w:rFonts w:ascii="宋体" w:hAnsi="宋体" w:hint="eastAsia"/>
                <w:b/>
                <w:bCs/>
                <w:iCs/>
                <w:sz w:val="24"/>
                <w:szCs w:val="24"/>
              </w:rPr>
            </w:pPr>
            <w:r>
              <w:rPr>
                <w:rFonts w:ascii="宋体" w:hAnsi="宋体" w:hint="eastAsia"/>
                <w:b/>
                <w:bCs/>
                <w:iCs/>
                <w:sz w:val="24"/>
                <w:szCs w:val="24"/>
              </w:rPr>
              <w:t>上市公司接待</w:t>
            </w:r>
          </w:p>
          <w:p w14:paraId="74032886" w14:textId="77777777" w:rsidR="009B74E9" w:rsidRDefault="00000000">
            <w:pPr>
              <w:rPr>
                <w:rFonts w:ascii="宋体" w:hAnsi="宋体" w:hint="eastAsia"/>
                <w:b/>
                <w:bCs/>
                <w:iCs/>
                <w:sz w:val="24"/>
                <w:szCs w:val="24"/>
              </w:rPr>
            </w:pPr>
            <w:r>
              <w:rPr>
                <w:rFonts w:ascii="宋体" w:hAnsi="宋体" w:hint="eastAsia"/>
                <w:b/>
                <w:bCs/>
                <w:iCs/>
                <w:sz w:val="24"/>
                <w:szCs w:val="24"/>
              </w:rPr>
              <w:t>人员姓名</w:t>
            </w:r>
          </w:p>
        </w:tc>
        <w:tc>
          <w:tcPr>
            <w:tcW w:w="6693" w:type="dxa"/>
            <w:shd w:val="clear" w:color="auto" w:fill="auto"/>
          </w:tcPr>
          <w:p w14:paraId="672075D8" w14:textId="28A95492" w:rsidR="005D5D85" w:rsidRPr="005D5D85" w:rsidRDefault="005D5D85" w:rsidP="005D5D85">
            <w:pPr>
              <w:spacing w:line="480" w:lineRule="atLeast"/>
              <w:rPr>
                <w:rFonts w:ascii="宋体" w:hAnsi="宋体" w:hint="eastAsia"/>
                <w:bCs/>
                <w:iCs/>
                <w:sz w:val="24"/>
                <w:szCs w:val="24"/>
              </w:rPr>
            </w:pPr>
            <w:r w:rsidRPr="005D5D85">
              <w:rPr>
                <w:rFonts w:ascii="宋体" w:hAnsi="宋体" w:hint="eastAsia"/>
                <w:bCs/>
                <w:iCs/>
                <w:sz w:val="24"/>
                <w:szCs w:val="24"/>
              </w:rPr>
              <w:t>董事、董事会秘书、副总经理</w:t>
            </w:r>
            <w:r w:rsidR="00CA4B6F">
              <w:rPr>
                <w:rFonts w:ascii="宋体" w:hAnsi="宋体" w:hint="eastAsia"/>
                <w:bCs/>
                <w:iCs/>
                <w:sz w:val="24"/>
                <w:szCs w:val="24"/>
              </w:rPr>
              <w:t xml:space="preserve">  </w:t>
            </w:r>
            <w:r w:rsidRPr="005D5D85">
              <w:rPr>
                <w:rFonts w:ascii="宋体" w:hAnsi="宋体" w:hint="eastAsia"/>
                <w:bCs/>
                <w:iCs/>
                <w:sz w:val="24"/>
                <w:szCs w:val="24"/>
              </w:rPr>
              <w:t>廖发培</w:t>
            </w:r>
          </w:p>
          <w:p w14:paraId="399DE2EC" w14:textId="77777777" w:rsidR="001471A8" w:rsidRDefault="005D5D85" w:rsidP="005D5D85">
            <w:pPr>
              <w:spacing w:line="480" w:lineRule="atLeast"/>
              <w:rPr>
                <w:rFonts w:ascii="宋体" w:hAnsi="宋体" w:hint="eastAsia"/>
                <w:bCs/>
                <w:iCs/>
                <w:sz w:val="24"/>
                <w:szCs w:val="24"/>
              </w:rPr>
            </w:pPr>
            <w:r w:rsidRPr="005D5D85">
              <w:rPr>
                <w:rFonts w:ascii="宋体" w:hAnsi="宋体" w:hint="eastAsia"/>
                <w:bCs/>
                <w:iCs/>
                <w:sz w:val="24"/>
                <w:szCs w:val="24"/>
              </w:rPr>
              <w:t>董事、财务负责人</w:t>
            </w:r>
            <w:r w:rsidR="00CA4B6F">
              <w:rPr>
                <w:rFonts w:ascii="宋体" w:hAnsi="宋体" w:hint="eastAsia"/>
                <w:bCs/>
                <w:iCs/>
                <w:sz w:val="24"/>
                <w:szCs w:val="24"/>
              </w:rPr>
              <w:t xml:space="preserve">  </w:t>
            </w:r>
            <w:r w:rsidRPr="005D5D85">
              <w:rPr>
                <w:rFonts w:ascii="宋体" w:hAnsi="宋体" w:hint="eastAsia"/>
                <w:bCs/>
                <w:iCs/>
                <w:sz w:val="24"/>
                <w:szCs w:val="24"/>
              </w:rPr>
              <w:t>汪时锋</w:t>
            </w:r>
          </w:p>
          <w:p w14:paraId="38368235" w14:textId="36ABA091" w:rsidR="0095082C" w:rsidRPr="001471A8" w:rsidRDefault="0095082C" w:rsidP="005D5D85">
            <w:pPr>
              <w:spacing w:line="480" w:lineRule="atLeast"/>
              <w:rPr>
                <w:rFonts w:ascii="宋体" w:hAnsi="宋体" w:hint="eastAsia"/>
                <w:bCs/>
                <w:iCs/>
                <w:sz w:val="24"/>
                <w:szCs w:val="24"/>
              </w:rPr>
            </w:pPr>
            <w:r>
              <w:rPr>
                <w:rFonts w:ascii="宋体" w:hAnsi="宋体" w:hint="eastAsia"/>
                <w:bCs/>
                <w:iCs/>
                <w:sz w:val="24"/>
                <w:szCs w:val="24"/>
              </w:rPr>
              <w:t>证券事务代表  吴碧青</w:t>
            </w:r>
          </w:p>
        </w:tc>
      </w:tr>
      <w:tr w:rsidR="009B74E9" w14:paraId="16982FD3" w14:textId="77777777">
        <w:trPr>
          <w:trHeight w:val="2723"/>
        </w:trPr>
        <w:tc>
          <w:tcPr>
            <w:tcW w:w="1931" w:type="dxa"/>
            <w:shd w:val="clear" w:color="auto" w:fill="auto"/>
            <w:vAlign w:val="center"/>
          </w:tcPr>
          <w:p w14:paraId="673E331D" w14:textId="77777777" w:rsidR="009B74E9" w:rsidRDefault="00000000">
            <w:pPr>
              <w:rPr>
                <w:rFonts w:ascii="宋体" w:hAnsi="宋体" w:hint="eastAsia"/>
                <w:b/>
                <w:bCs/>
                <w:iCs/>
                <w:sz w:val="24"/>
                <w:szCs w:val="24"/>
              </w:rPr>
            </w:pPr>
            <w:r>
              <w:rPr>
                <w:rFonts w:ascii="宋体" w:hAnsi="宋体" w:hint="eastAsia"/>
                <w:b/>
                <w:bCs/>
                <w:iCs/>
                <w:sz w:val="24"/>
                <w:szCs w:val="24"/>
              </w:rPr>
              <w:t>投资者关系活动主要内容介绍</w:t>
            </w:r>
          </w:p>
          <w:p w14:paraId="583BBDB8" w14:textId="77777777" w:rsidR="009B74E9" w:rsidRDefault="009B74E9">
            <w:pPr>
              <w:rPr>
                <w:rFonts w:ascii="宋体" w:hAnsi="宋体" w:hint="eastAsia"/>
                <w:b/>
                <w:bCs/>
                <w:iCs/>
                <w:sz w:val="24"/>
                <w:szCs w:val="24"/>
              </w:rPr>
            </w:pPr>
          </w:p>
        </w:tc>
        <w:tc>
          <w:tcPr>
            <w:tcW w:w="6693" w:type="dxa"/>
            <w:shd w:val="clear" w:color="auto" w:fill="auto"/>
          </w:tcPr>
          <w:p w14:paraId="6AD1D9B9" w14:textId="685B9677" w:rsidR="00711003" w:rsidRPr="00406E0C" w:rsidRDefault="00711003" w:rsidP="00406E0C">
            <w:pPr>
              <w:spacing w:line="480" w:lineRule="atLeast"/>
              <w:rPr>
                <w:rFonts w:ascii="宋体" w:hAnsi="宋体" w:hint="eastAsia"/>
                <w:b/>
                <w:iCs/>
                <w:sz w:val="24"/>
                <w:szCs w:val="24"/>
              </w:rPr>
            </w:pPr>
            <w:r w:rsidRPr="00406E0C">
              <w:rPr>
                <w:rFonts w:ascii="宋体" w:hAnsi="宋体" w:hint="eastAsia"/>
                <w:b/>
                <w:iCs/>
                <w:sz w:val="24"/>
                <w:szCs w:val="24"/>
              </w:rPr>
              <w:t>互动交流</w:t>
            </w:r>
          </w:p>
          <w:p w14:paraId="0390A6F0" w14:textId="670E4073" w:rsidR="00834152" w:rsidRPr="0094524F" w:rsidRDefault="00406E0C" w:rsidP="0094524F">
            <w:pPr>
              <w:spacing w:line="480" w:lineRule="atLeast"/>
              <w:rPr>
                <w:rFonts w:ascii="宋体" w:hAnsi="宋体" w:hint="eastAsia"/>
                <w:b/>
                <w:iCs/>
                <w:sz w:val="24"/>
                <w:szCs w:val="24"/>
              </w:rPr>
            </w:pPr>
            <w:r>
              <w:rPr>
                <w:rFonts w:ascii="宋体" w:hAnsi="宋体" w:hint="eastAsia"/>
                <w:b/>
                <w:iCs/>
                <w:sz w:val="24"/>
                <w:szCs w:val="24"/>
              </w:rPr>
              <w:t>1.</w:t>
            </w:r>
            <w:r w:rsidR="002C236D">
              <w:rPr>
                <w:rFonts w:ascii="宋体" w:hAnsi="宋体" w:hint="eastAsia"/>
                <w:b/>
                <w:iCs/>
                <w:sz w:val="24"/>
                <w:szCs w:val="24"/>
              </w:rPr>
              <w:t>募投项目介绍</w:t>
            </w:r>
            <w:r w:rsidR="00834152" w:rsidRPr="0094524F">
              <w:rPr>
                <w:rFonts w:ascii="宋体" w:hAnsi="宋体" w:hint="eastAsia"/>
                <w:b/>
                <w:iCs/>
                <w:sz w:val="24"/>
                <w:szCs w:val="24"/>
              </w:rPr>
              <w:t>？</w:t>
            </w:r>
          </w:p>
          <w:p w14:paraId="653DA6BD" w14:textId="77777777" w:rsidR="002C236D" w:rsidRDefault="002C236D" w:rsidP="000319E4">
            <w:pPr>
              <w:spacing w:line="480" w:lineRule="atLeast"/>
              <w:ind w:firstLineChars="200" w:firstLine="480"/>
              <w:rPr>
                <w:rFonts w:ascii="宋体" w:hAnsi="宋体"/>
                <w:bCs/>
                <w:iCs/>
                <w:sz w:val="24"/>
                <w:szCs w:val="24"/>
              </w:rPr>
            </w:pPr>
            <w:r w:rsidRPr="002C236D">
              <w:rPr>
                <w:rFonts w:ascii="宋体" w:hAnsi="宋体" w:hint="eastAsia"/>
                <w:bCs/>
                <w:iCs/>
                <w:sz w:val="24"/>
                <w:szCs w:val="24"/>
              </w:rPr>
              <w:t>“年产30万台仓储搬运设备及100万套机械零部件加工、智能机器人制造（一期）”和“湖北中力机械有限公司电动叉车总装生产线一期项目”主要生产电动叉车，与公司现有产品基本一致。</w:t>
            </w:r>
          </w:p>
          <w:p w14:paraId="71FC81E0" w14:textId="77777777" w:rsidR="002C236D" w:rsidRDefault="002C236D" w:rsidP="000319E4">
            <w:pPr>
              <w:spacing w:line="480" w:lineRule="atLeast"/>
              <w:ind w:firstLineChars="200" w:firstLine="480"/>
              <w:rPr>
                <w:rFonts w:ascii="宋体" w:hAnsi="宋体"/>
                <w:bCs/>
                <w:iCs/>
                <w:sz w:val="24"/>
                <w:szCs w:val="24"/>
              </w:rPr>
            </w:pPr>
            <w:r w:rsidRPr="002C236D">
              <w:rPr>
                <w:rFonts w:ascii="宋体" w:hAnsi="宋体" w:hint="eastAsia"/>
                <w:bCs/>
                <w:iCs/>
                <w:sz w:val="24"/>
                <w:szCs w:val="24"/>
              </w:rPr>
              <w:t>“湖北中力铸造有限公司电动叉车零部件铸造一期项目”属于叉车产业链的配套环节，在生产制造各环节与公司现有技术具有很强的联动性和协同性。</w:t>
            </w:r>
          </w:p>
          <w:p w14:paraId="4500B1A3" w14:textId="27551413" w:rsidR="002C236D" w:rsidRDefault="006665D0" w:rsidP="000319E4">
            <w:pPr>
              <w:spacing w:line="480" w:lineRule="atLeast"/>
              <w:ind w:firstLineChars="200" w:firstLine="480"/>
              <w:rPr>
                <w:rFonts w:ascii="宋体" w:hAnsi="宋体" w:hint="eastAsia"/>
                <w:bCs/>
                <w:iCs/>
                <w:sz w:val="24"/>
                <w:szCs w:val="24"/>
              </w:rPr>
            </w:pPr>
            <w:r w:rsidRPr="006665D0">
              <w:rPr>
                <w:rFonts w:ascii="宋体" w:hAnsi="宋体" w:hint="eastAsia"/>
                <w:bCs/>
                <w:iCs/>
                <w:sz w:val="24"/>
                <w:szCs w:val="24"/>
              </w:rPr>
              <w:t>“摩弗智能（安吉）研究院项目”将整合公司现有的研发力量，通过扩大研发工作场所、改善研发环境、引进先进的研</w:t>
            </w:r>
            <w:r w:rsidRPr="006665D0">
              <w:rPr>
                <w:rFonts w:ascii="宋体" w:hAnsi="宋体" w:hint="eastAsia"/>
                <w:bCs/>
                <w:iCs/>
                <w:sz w:val="24"/>
                <w:szCs w:val="24"/>
              </w:rPr>
              <w:lastRenderedPageBreak/>
              <w:t>发软硬件设施、招募高级技术人才等措施，全面升级和完善公司研发架构，进一步提升公司研发创新实力，增强公司核心竞争力。</w:t>
            </w:r>
          </w:p>
          <w:p w14:paraId="3DCEF264" w14:textId="093283F2" w:rsidR="000319E4" w:rsidRDefault="002C236D" w:rsidP="000319E4">
            <w:pPr>
              <w:spacing w:line="480" w:lineRule="atLeast"/>
              <w:ind w:firstLineChars="200" w:firstLine="480"/>
              <w:rPr>
                <w:rFonts w:ascii="宋体" w:hAnsi="宋体" w:hint="eastAsia"/>
                <w:bCs/>
                <w:iCs/>
                <w:sz w:val="24"/>
                <w:szCs w:val="24"/>
              </w:rPr>
            </w:pPr>
            <w:r w:rsidRPr="002C236D">
              <w:rPr>
                <w:rFonts w:ascii="宋体" w:hAnsi="宋体" w:hint="eastAsia"/>
                <w:bCs/>
                <w:iCs/>
                <w:sz w:val="24"/>
                <w:szCs w:val="24"/>
              </w:rPr>
              <w:t>募投项目可利用公司多年的技术积累，对生产工艺进一步升级优化，提升产品技术含量与竞争力。</w:t>
            </w:r>
          </w:p>
          <w:p w14:paraId="116CFE37" w14:textId="134CB777" w:rsidR="00B9522E" w:rsidRPr="0094524F" w:rsidRDefault="006665D0" w:rsidP="0094524F">
            <w:pPr>
              <w:spacing w:line="480" w:lineRule="atLeast"/>
              <w:rPr>
                <w:rFonts w:ascii="宋体" w:hAnsi="宋体" w:hint="eastAsia"/>
                <w:b/>
                <w:iCs/>
                <w:sz w:val="24"/>
                <w:szCs w:val="24"/>
              </w:rPr>
            </w:pPr>
            <w:r>
              <w:rPr>
                <w:rFonts w:ascii="宋体" w:hAnsi="宋体" w:hint="eastAsia"/>
                <w:b/>
                <w:iCs/>
                <w:sz w:val="24"/>
                <w:szCs w:val="24"/>
              </w:rPr>
              <w:t>2</w:t>
            </w:r>
            <w:r w:rsidR="0094524F" w:rsidRPr="0094524F">
              <w:rPr>
                <w:rFonts w:ascii="宋体" w:hAnsi="宋体" w:hint="eastAsia"/>
                <w:b/>
                <w:iCs/>
                <w:sz w:val="24"/>
                <w:szCs w:val="24"/>
              </w:rPr>
              <w:t>.</w:t>
            </w:r>
            <w:r>
              <w:rPr>
                <w:rFonts w:ascii="宋体" w:hAnsi="宋体" w:hint="eastAsia"/>
                <w:b/>
                <w:iCs/>
                <w:sz w:val="24"/>
                <w:szCs w:val="24"/>
              </w:rPr>
              <w:t>公司的市场竞争地位</w:t>
            </w:r>
            <w:r w:rsidR="0094524F" w:rsidRPr="0094524F">
              <w:rPr>
                <w:rFonts w:ascii="宋体" w:hAnsi="宋体" w:hint="eastAsia"/>
                <w:b/>
                <w:iCs/>
                <w:sz w:val="24"/>
                <w:szCs w:val="24"/>
              </w:rPr>
              <w:t>？</w:t>
            </w:r>
          </w:p>
          <w:p w14:paraId="349C32B0" w14:textId="1E786FA9" w:rsidR="006665D0" w:rsidRPr="0094524F" w:rsidRDefault="006665D0" w:rsidP="006665D0">
            <w:pPr>
              <w:spacing w:line="480" w:lineRule="atLeast"/>
              <w:ind w:firstLineChars="200" w:firstLine="480"/>
              <w:rPr>
                <w:rFonts w:ascii="宋体" w:hAnsi="宋体"/>
                <w:bCs/>
                <w:iCs/>
                <w:sz w:val="24"/>
                <w:szCs w:val="24"/>
              </w:rPr>
            </w:pPr>
            <w:r w:rsidRPr="006665D0">
              <w:rPr>
                <w:rFonts w:ascii="宋体" w:hAnsi="宋体" w:hint="eastAsia"/>
                <w:bCs/>
                <w:iCs/>
                <w:sz w:val="24"/>
                <w:szCs w:val="24"/>
              </w:rPr>
              <w:t>公司专注于电动叉车等机动工业车辆的研发、生产和销售，目前已成长为国内知名的机动工业车辆制造企业</w:t>
            </w:r>
            <w:r>
              <w:rPr>
                <w:rFonts w:ascii="宋体" w:hAnsi="宋体" w:hint="eastAsia"/>
                <w:bCs/>
                <w:iCs/>
                <w:sz w:val="24"/>
                <w:szCs w:val="24"/>
              </w:rPr>
              <w:t>，</w:t>
            </w:r>
            <w:r w:rsidRPr="006665D0">
              <w:rPr>
                <w:rFonts w:ascii="宋体" w:hAnsi="宋体" w:hint="eastAsia"/>
                <w:bCs/>
                <w:iCs/>
                <w:sz w:val="24"/>
                <w:szCs w:val="24"/>
              </w:rPr>
              <w:t>在电动叉车和新能源叉车领域，中力股份具有较强优势。</w:t>
            </w:r>
          </w:p>
          <w:p w14:paraId="6D1A7257" w14:textId="77777777" w:rsidR="004141EC" w:rsidRDefault="006665D0" w:rsidP="006665D0">
            <w:pPr>
              <w:spacing w:line="480" w:lineRule="atLeast"/>
              <w:ind w:firstLineChars="200" w:firstLine="480"/>
              <w:rPr>
                <w:rFonts w:ascii="宋体" w:hAnsi="宋体"/>
                <w:bCs/>
                <w:iCs/>
                <w:sz w:val="24"/>
                <w:szCs w:val="24"/>
              </w:rPr>
            </w:pPr>
            <w:r w:rsidRPr="006665D0">
              <w:rPr>
                <w:rFonts w:ascii="宋体" w:hAnsi="宋体" w:hint="eastAsia"/>
                <w:bCs/>
                <w:iCs/>
                <w:sz w:val="24"/>
                <w:szCs w:val="24"/>
              </w:rPr>
              <w:t>根据中国工程机械工业协会工业车辆分会的统计数据，</w:t>
            </w:r>
            <w:r w:rsidR="00FD5FFE" w:rsidRPr="00FD5FFE">
              <w:rPr>
                <w:rFonts w:ascii="宋体" w:hAnsi="宋体" w:hint="eastAsia"/>
                <w:bCs/>
                <w:iCs/>
                <w:sz w:val="24"/>
                <w:szCs w:val="24"/>
              </w:rPr>
              <w:t>公司电动叉车产销量领先，2013年起连续12年电动仓储叉车产销量排名第一，2019年起连续6年锂电池叉车产销量排名第一。</w:t>
            </w:r>
          </w:p>
          <w:p w14:paraId="47E4421B" w14:textId="77777777" w:rsidR="00FD5FFE" w:rsidRDefault="00FD5FFE" w:rsidP="00FD5FFE">
            <w:pPr>
              <w:spacing w:line="480" w:lineRule="atLeast"/>
              <w:rPr>
                <w:rFonts w:ascii="宋体" w:hAnsi="宋体"/>
                <w:b/>
                <w:iCs/>
                <w:sz w:val="24"/>
                <w:szCs w:val="24"/>
              </w:rPr>
            </w:pPr>
            <w:r w:rsidRPr="00FD5FFE">
              <w:rPr>
                <w:rFonts w:ascii="宋体" w:hAnsi="宋体" w:hint="eastAsia"/>
                <w:b/>
                <w:iCs/>
                <w:sz w:val="24"/>
                <w:szCs w:val="24"/>
              </w:rPr>
              <w:t>3.“油改电”叉车介绍？</w:t>
            </w:r>
          </w:p>
          <w:p w14:paraId="1288C7A7" w14:textId="77777777" w:rsidR="00FD5FFE" w:rsidRDefault="00FD5FFE" w:rsidP="00FD5FFE">
            <w:pPr>
              <w:spacing w:line="480" w:lineRule="atLeast"/>
              <w:ind w:firstLineChars="200" w:firstLine="480"/>
              <w:rPr>
                <w:rFonts w:ascii="宋体" w:hAnsi="宋体"/>
                <w:bCs/>
                <w:iCs/>
                <w:sz w:val="24"/>
                <w:szCs w:val="24"/>
              </w:rPr>
            </w:pPr>
            <w:r w:rsidRPr="00FD5FFE">
              <w:rPr>
                <w:rFonts w:ascii="宋体" w:hAnsi="宋体" w:hint="eastAsia"/>
                <w:bCs/>
                <w:iCs/>
                <w:sz w:val="24"/>
                <w:szCs w:val="24"/>
              </w:rPr>
              <w:t>公司电动平衡重乘驾式叉车排名总体呈上升趋势，主要系公司积极布局这一细分市场，以市场为导向，持续创新，于2019年提出“油改电”概念，并于2020年成功推出全新概念锂电池叉车——油改电系列电动叉车。公司依靠油改电系列电动叉车的出色性能，油改电系列电动叉车所在的电动平衡重乘驾式叉车得到了越来越多的客户的认可，促使整体销量逐步提升，市场排名逐年上升。</w:t>
            </w:r>
          </w:p>
          <w:p w14:paraId="6432EE68" w14:textId="5206DF56" w:rsidR="00FD5FFE" w:rsidRDefault="00FD5FFE" w:rsidP="00FD5FFE">
            <w:pPr>
              <w:spacing w:line="480" w:lineRule="atLeast"/>
              <w:ind w:firstLineChars="200" w:firstLine="480"/>
              <w:rPr>
                <w:rFonts w:ascii="宋体" w:hAnsi="宋体"/>
                <w:bCs/>
                <w:iCs/>
                <w:sz w:val="24"/>
                <w:szCs w:val="24"/>
              </w:rPr>
            </w:pPr>
            <w:r w:rsidRPr="00FD5FFE">
              <w:rPr>
                <w:rFonts w:ascii="宋体" w:hAnsi="宋体" w:hint="eastAsia"/>
                <w:bCs/>
                <w:iCs/>
                <w:sz w:val="24"/>
                <w:szCs w:val="24"/>
              </w:rPr>
              <w:t>油改电叉车同时发挥内燃叉车和电动叉车的优势，可用于室内外多场景</w:t>
            </w:r>
            <w:r>
              <w:rPr>
                <w:rFonts w:ascii="宋体" w:hAnsi="宋体" w:hint="eastAsia"/>
                <w:bCs/>
                <w:iCs/>
                <w:sz w:val="24"/>
                <w:szCs w:val="24"/>
              </w:rPr>
              <w:t>，具有以下特点：</w:t>
            </w:r>
          </w:p>
          <w:p w14:paraId="3089F198" w14:textId="5EA4DC8A" w:rsidR="00FD5FFE" w:rsidRPr="00FD5FFE" w:rsidRDefault="00FD5FFE" w:rsidP="00FD5FFE">
            <w:pPr>
              <w:spacing w:line="480" w:lineRule="atLeast"/>
              <w:rPr>
                <w:rFonts w:ascii="宋体" w:hAnsi="宋体" w:hint="eastAsia"/>
                <w:bCs/>
                <w:iCs/>
                <w:sz w:val="24"/>
                <w:szCs w:val="24"/>
              </w:rPr>
            </w:pPr>
            <w:r>
              <w:rPr>
                <w:rFonts w:ascii="宋体" w:hAnsi="宋体" w:hint="eastAsia"/>
                <w:bCs/>
                <w:iCs/>
                <w:sz w:val="24"/>
                <w:szCs w:val="24"/>
              </w:rPr>
              <w:t>（1）</w:t>
            </w:r>
            <w:r w:rsidRPr="00FD5FFE">
              <w:rPr>
                <w:rFonts w:ascii="宋体" w:hAnsi="宋体" w:hint="eastAsia"/>
                <w:bCs/>
                <w:iCs/>
                <w:sz w:val="24"/>
                <w:szCs w:val="24"/>
              </w:rPr>
              <w:t>锂电池作为动力，更绿色环保，安全性高；</w:t>
            </w:r>
          </w:p>
          <w:p w14:paraId="3706225F" w14:textId="7A272831" w:rsidR="00FD5FFE" w:rsidRPr="00FD5FFE" w:rsidRDefault="00FD5FFE" w:rsidP="00FD5FFE">
            <w:pPr>
              <w:spacing w:line="480" w:lineRule="atLeast"/>
              <w:rPr>
                <w:rFonts w:ascii="宋体" w:hAnsi="宋体" w:hint="eastAsia"/>
                <w:bCs/>
                <w:iCs/>
                <w:sz w:val="24"/>
                <w:szCs w:val="24"/>
              </w:rPr>
            </w:pPr>
            <w:r>
              <w:rPr>
                <w:rFonts w:ascii="宋体" w:hAnsi="宋体" w:hint="eastAsia"/>
                <w:bCs/>
                <w:iCs/>
                <w:sz w:val="24"/>
                <w:szCs w:val="24"/>
              </w:rPr>
              <w:t>（2）</w:t>
            </w:r>
            <w:r w:rsidRPr="00FD5FFE">
              <w:rPr>
                <w:rFonts w:ascii="宋体" w:hAnsi="宋体" w:hint="eastAsia"/>
                <w:bCs/>
                <w:iCs/>
                <w:sz w:val="24"/>
                <w:szCs w:val="24"/>
              </w:rPr>
              <w:t>使用成本、维护成本相较于内燃叉车更低；</w:t>
            </w:r>
          </w:p>
          <w:p w14:paraId="01615B4D" w14:textId="18E4A05C" w:rsidR="00FD5FFE" w:rsidRPr="00FD5FFE" w:rsidRDefault="00FD5FFE" w:rsidP="00FD5FFE">
            <w:pPr>
              <w:spacing w:line="480" w:lineRule="atLeast"/>
              <w:rPr>
                <w:rFonts w:ascii="宋体" w:hAnsi="宋体" w:hint="eastAsia"/>
                <w:bCs/>
                <w:iCs/>
                <w:sz w:val="24"/>
                <w:szCs w:val="24"/>
              </w:rPr>
            </w:pPr>
            <w:r>
              <w:rPr>
                <w:rFonts w:ascii="宋体" w:hAnsi="宋体" w:hint="eastAsia"/>
                <w:bCs/>
                <w:iCs/>
                <w:sz w:val="24"/>
                <w:szCs w:val="24"/>
              </w:rPr>
              <w:t>（3）</w:t>
            </w:r>
            <w:r w:rsidRPr="00FD5FFE">
              <w:rPr>
                <w:rFonts w:ascii="宋体" w:hAnsi="宋体" w:hint="eastAsia"/>
                <w:bCs/>
                <w:iCs/>
                <w:sz w:val="24"/>
                <w:szCs w:val="24"/>
              </w:rPr>
              <w:t>使用内燃车底盘，结实耐用；</w:t>
            </w:r>
          </w:p>
          <w:p w14:paraId="551B09DF" w14:textId="77777777" w:rsidR="00FD5FFE" w:rsidRDefault="00FD5FFE" w:rsidP="00FD5FFE">
            <w:pPr>
              <w:spacing w:line="480" w:lineRule="atLeast"/>
              <w:rPr>
                <w:rFonts w:ascii="宋体" w:hAnsi="宋体"/>
                <w:bCs/>
                <w:iCs/>
                <w:sz w:val="24"/>
                <w:szCs w:val="24"/>
              </w:rPr>
            </w:pPr>
            <w:r>
              <w:rPr>
                <w:rFonts w:ascii="宋体" w:hAnsi="宋体" w:hint="eastAsia"/>
                <w:bCs/>
                <w:iCs/>
                <w:sz w:val="24"/>
                <w:szCs w:val="24"/>
              </w:rPr>
              <w:t>（4）</w:t>
            </w:r>
            <w:r w:rsidRPr="00FD5FFE">
              <w:rPr>
                <w:rFonts w:ascii="宋体" w:hAnsi="宋体" w:hint="eastAsia"/>
                <w:bCs/>
                <w:iCs/>
                <w:sz w:val="24"/>
                <w:szCs w:val="24"/>
              </w:rPr>
              <w:t>随充随用，满足大多数工况一般作业</w:t>
            </w:r>
            <w:r>
              <w:rPr>
                <w:rFonts w:ascii="宋体" w:hAnsi="宋体" w:hint="eastAsia"/>
                <w:bCs/>
                <w:iCs/>
                <w:sz w:val="24"/>
                <w:szCs w:val="24"/>
              </w:rPr>
              <w:t>。</w:t>
            </w:r>
          </w:p>
          <w:p w14:paraId="74F933C5" w14:textId="77777777" w:rsidR="00FD5FFE" w:rsidRDefault="00FD5FFE" w:rsidP="00FD5FFE">
            <w:pPr>
              <w:spacing w:line="480" w:lineRule="atLeast"/>
              <w:ind w:firstLineChars="200" w:firstLine="480"/>
              <w:rPr>
                <w:rFonts w:ascii="宋体" w:hAnsi="宋体"/>
                <w:bCs/>
                <w:iCs/>
                <w:sz w:val="24"/>
                <w:szCs w:val="24"/>
              </w:rPr>
            </w:pPr>
            <w:r w:rsidRPr="00FD5FFE">
              <w:rPr>
                <w:rFonts w:ascii="宋体" w:hAnsi="宋体" w:hint="eastAsia"/>
                <w:bCs/>
                <w:iCs/>
                <w:sz w:val="24"/>
                <w:szCs w:val="24"/>
              </w:rPr>
              <w:t>在国内节能减排的大环境下，加之内燃叉车仍有较大存量，叉车“油改电”成为传统内燃叉车向电动叉车过渡最简单</w:t>
            </w:r>
            <w:r w:rsidRPr="00FD5FFE">
              <w:rPr>
                <w:rFonts w:ascii="宋体" w:hAnsi="宋体" w:hint="eastAsia"/>
                <w:bCs/>
                <w:iCs/>
                <w:sz w:val="24"/>
                <w:szCs w:val="24"/>
              </w:rPr>
              <w:lastRenderedPageBreak/>
              <w:t>实用的技术解决方案。叉车“油改电”充分利用内燃叉车成熟可靠的整机技术和高效完善且成本低廉的供应链体系，并结合国内锂电池的产业优势和技术成本优势，有效降低内燃叉车转换为电动叉车的门槛，加快了电动叉车广泛应用的步伐。</w:t>
            </w:r>
          </w:p>
          <w:p w14:paraId="41D5A9A0" w14:textId="77777777" w:rsidR="001C7E6F" w:rsidRPr="001C7E6F" w:rsidRDefault="001C7E6F" w:rsidP="001C7E6F">
            <w:pPr>
              <w:spacing w:line="480" w:lineRule="atLeast"/>
              <w:rPr>
                <w:rFonts w:ascii="宋体" w:hAnsi="宋体"/>
                <w:b/>
                <w:iCs/>
                <w:sz w:val="24"/>
                <w:szCs w:val="24"/>
              </w:rPr>
            </w:pPr>
            <w:r w:rsidRPr="001C7E6F">
              <w:rPr>
                <w:rFonts w:ascii="宋体" w:hAnsi="宋体" w:hint="eastAsia"/>
                <w:b/>
                <w:iCs/>
                <w:sz w:val="24"/>
                <w:szCs w:val="24"/>
              </w:rPr>
              <w:t>4.与永恒力合作对公司的影响？</w:t>
            </w:r>
          </w:p>
          <w:p w14:paraId="5DA7F219" w14:textId="77777777" w:rsidR="001C7E6F" w:rsidRDefault="001C7E6F" w:rsidP="001C7E6F">
            <w:pPr>
              <w:spacing w:line="480" w:lineRule="atLeast"/>
              <w:ind w:firstLineChars="200" w:firstLine="480"/>
              <w:rPr>
                <w:rFonts w:ascii="宋体" w:hAnsi="宋体"/>
                <w:bCs/>
                <w:iCs/>
                <w:sz w:val="24"/>
                <w:szCs w:val="24"/>
              </w:rPr>
            </w:pPr>
            <w:r>
              <w:rPr>
                <w:rFonts w:ascii="宋体" w:hAnsi="宋体" w:hint="eastAsia"/>
                <w:bCs/>
                <w:iCs/>
                <w:sz w:val="24"/>
                <w:szCs w:val="24"/>
              </w:rPr>
              <w:t>永恒力</w:t>
            </w:r>
            <w:r w:rsidRPr="001C7E6F">
              <w:rPr>
                <w:rFonts w:ascii="宋体" w:hAnsi="宋体" w:hint="eastAsia"/>
                <w:bCs/>
                <w:iCs/>
                <w:sz w:val="24"/>
                <w:szCs w:val="24"/>
              </w:rPr>
              <w:t>作为全球领先的物料搬运解决方案提供商之一，多年来始终致力于开发创新且可持续的物流产品和解决方案。其全球网络涵盖12家生产工厂以及遍布42个国家的服务和销售公司。</w:t>
            </w:r>
          </w:p>
          <w:p w14:paraId="7CC138B8" w14:textId="77777777" w:rsidR="001C7E6F" w:rsidRDefault="001C7E6F" w:rsidP="001C7E6F">
            <w:pPr>
              <w:spacing w:line="480" w:lineRule="atLeast"/>
              <w:ind w:firstLineChars="200" w:firstLine="480"/>
              <w:rPr>
                <w:rFonts w:ascii="宋体" w:hAnsi="宋体"/>
                <w:bCs/>
                <w:iCs/>
                <w:sz w:val="24"/>
                <w:szCs w:val="24"/>
              </w:rPr>
            </w:pPr>
            <w:r w:rsidRPr="001C7E6F">
              <w:rPr>
                <w:rFonts w:ascii="宋体" w:hAnsi="宋体" w:hint="eastAsia"/>
                <w:bCs/>
                <w:iCs/>
                <w:sz w:val="24"/>
                <w:szCs w:val="24"/>
              </w:rPr>
              <w:t>通过与永恒力的战略合作，公司将进一步深化全球化多渠道战略布局，持续推进以电动化、智能化技术为核心的产品升级，进一步强化公司核心竞争力，实现高质量可持续发展。</w:t>
            </w:r>
          </w:p>
          <w:p w14:paraId="334B56CE" w14:textId="77777777" w:rsidR="001C7E6F" w:rsidRPr="001C7E6F" w:rsidRDefault="001C7E6F" w:rsidP="001C7E6F">
            <w:pPr>
              <w:spacing w:line="480" w:lineRule="atLeast"/>
              <w:rPr>
                <w:rFonts w:ascii="宋体" w:hAnsi="宋体"/>
                <w:b/>
                <w:iCs/>
                <w:sz w:val="24"/>
                <w:szCs w:val="24"/>
              </w:rPr>
            </w:pPr>
            <w:r w:rsidRPr="001C7E6F">
              <w:rPr>
                <w:rFonts w:ascii="宋体" w:hAnsi="宋体" w:hint="eastAsia"/>
                <w:b/>
                <w:iCs/>
                <w:sz w:val="24"/>
                <w:szCs w:val="24"/>
              </w:rPr>
              <w:t>5.智慧物流情况？</w:t>
            </w:r>
          </w:p>
          <w:p w14:paraId="11A487E9" w14:textId="6FFEAD8A" w:rsidR="001C7E6F" w:rsidRDefault="001C7E6F" w:rsidP="00353A22">
            <w:pPr>
              <w:spacing w:line="480" w:lineRule="atLeast"/>
              <w:ind w:firstLine="480"/>
              <w:rPr>
                <w:rFonts w:ascii="宋体" w:hAnsi="宋体"/>
                <w:bCs/>
                <w:iCs/>
                <w:sz w:val="24"/>
                <w:szCs w:val="24"/>
              </w:rPr>
            </w:pPr>
            <w:r>
              <w:rPr>
                <w:rFonts w:ascii="宋体" w:hAnsi="宋体" w:hint="eastAsia"/>
                <w:bCs/>
                <w:iCs/>
                <w:sz w:val="24"/>
                <w:szCs w:val="24"/>
              </w:rPr>
              <w:t>通过演示应用场景视频，介绍相关情况：</w:t>
            </w:r>
          </w:p>
          <w:p w14:paraId="3B397EB6" w14:textId="77777777" w:rsidR="00353A22" w:rsidRPr="00353A22" w:rsidRDefault="00353A22" w:rsidP="00353A22">
            <w:pPr>
              <w:spacing w:line="480" w:lineRule="atLeast"/>
              <w:ind w:firstLine="480"/>
              <w:rPr>
                <w:rFonts w:ascii="宋体" w:hAnsi="宋体" w:hint="eastAsia"/>
                <w:bCs/>
                <w:iCs/>
                <w:sz w:val="24"/>
                <w:szCs w:val="24"/>
              </w:rPr>
            </w:pPr>
            <w:r w:rsidRPr="00353A22">
              <w:rPr>
                <w:rFonts w:ascii="宋体" w:hAnsi="宋体" w:hint="eastAsia"/>
                <w:bCs/>
                <w:iCs/>
                <w:sz w:val="24"/>
                <w:szCs w:val="24"/>
              </w:rPr>
              <w:t>在智慧物流、智能制造、智能仓储等行业快速发展的带动下，借助物联网、信息化技术与产品的融合，满足客户多方位需求，具备无人驾驶、远程监控、管理等功能的智能工业车辆产品成为行业技术发展趋势。</w:t>
            </w:r>
          </w:p>
          <w:p w14:paraId="01D9AB95" w14:textId="5F38E975" w:rsidR="00353A22" w:rsidRPr="00353A22" w:rsidRDefault="00353A22" w:rsidP="00353A22">
            <w:pPr>
              <w:spacing w:line="480" w:lineRule="atLeast"/>
              <w:ind w:firstLine="480"/>
              <w:rPr>
                <w:rFonts w:ascii="宋体" w:hAnsi="宋体" w:hint="eastAsia"/>
                <w:bCs/>
                <w:iCs/>
                <w:sz w:val="24"/>
                <w:szCs w:val="24"/>
              </w:rPr>
            </w:pPr>
            <w:r w:rsidRPr="00353A22">
              <w:rPr>
                <w:rFonts w:ascii="宋体" w:hAnsi="宋体" w:hint="eastAsia"/>
                <w:bCs/>
                <w:iCs/>
                <w:sz w:val="24"/>
                <w:szCs w:val="24"/>
              </w:rPr>
              <w:t>叉式移动机器人是在叉车上加载各种导航技术，构建地图算法，辅以避障安全技术，实现叉车的无人化作业。叉式移动机器人广泛应用于重复性搬运、搬运强度大、工作环境恶劣等搬运场景，有着广阔的应用前景。相比于传统叉车，叉式移动机器人能保证操作精度、效率和安全性，协助实现整个生产流程的无人化作业，维持24小时全天候稳定运转，有效提高搬运效率。近年来，随着市场需求的推动和大批企业的进入，叉式移动机器人的技术不断走向成熟，中力股份的X-Mover搬马机器人应用于物流公司转运中心，有效提高搬运效率。</w:t>
            </w:r>
          </w:p>
        </w:tc>
      </w:tr>
      <w:tr w:rsidR="009B74E9" w14:paraId="542D15DD" w14:textId="77777777">
        <w:trPr>
          <w:trHeight w:val="728"/>
        </w:trPr>
        <w:tc>
          <w:tcPr>
            <w:tcW w:w="1931" w:type="dxa"/>
            <w:shd w:val="clear" w:color="auto" w:fill="auto"/>
            <w:vAlign w:val="center"/>
          </w:tcPr>
          <w:p w14:paraId="676F6A13" w14:textId="77777777" w:rsidR="009B74E9" w:rsidRDefault="00000000">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38454321" w14:textId="383B573E" w:rsidR="009B74E9" w:rsidRDefault="005D5D85">
            <w:pPr>
              <w:spacing w:line="480" w:lineRule="atLeast"/>
              <w:rPr>
                <w:rFonts w:ascii="宋体" w:hAnsi="宋体" w:hint="eastAsia"/>
                <w:bCs/>
                <w:iCs/>
                <w:sz w:val="24"/>
                <w:szCs w:val="24"/>
              </w:rPr>
            </w:pPr>
            <w:r>
              <w:rPr>
                <w:rFonts w:ascii="宋体" w:hAnsi="宋体" w:hint="eastAsia"/>
                <w:bCs/>
                <w:iCs/>
                <w:sz w:val="24"/>
                <w:szCs w:val="24"/>
              </w:rPr>
              <w:t>无</w:t>
            </w:r>
          </w:p>
        </w:tc>
      </w:tr>
      <w:tr w:rsidR="009B74E9" w14:paraId="286E56AA" w14:textId="77777777">
        <w:trPr>
          <w:trHeight w:val="728"/>
        </w:trPr>
        <w:tc>
          <w:tcPr>
            <w:tcW w:w="1931" w:type="dxa"/>
            <w:shd w:val="clear" w:color="auto" w:fill="auto"/>
            <w:vAlign w:val="center"/>
          </w:tcPr>
          <w:p w14:paraId="60ACA70F" w14:textId="77777777" w:rsidR="009B74E9" w:rsidRDefault="00000000">
            <w:pPr>
              <w:rPr>
                <w:rFonts w:ascii="宋体" w:hAnsi="宋体" w:hint="eastAsia"/>
                <w:b/>
                <w:bCs/>
                <w:iCs/>
                <w:sz w:val="24"/>
                <w:szCs w:val="24"/>
              </w:rPr>
            </w:pPr>
            <w:r>
              <w:rPr>
                <w:rFonts w:ascii="宋体" w:hAnsi="宋体" w:hint="eastAsia"/>
                <w:b/>
                <w:bCs/>
                <w:iCs/>
                <w:sz w:val="24"/>
                <w:szCs w:val="24"/>
              </w:rPr>
              <w:lastRenderedPageBreak/>
              <w:t>日期</w:t>
            </w:r>
          </w:p>
        </w:tc>
        <w:tc>
          <w:tcPr>
            <w:tcW w:w="6693" w:type="dxa"/>
            <w:shd w:val="clear" w:color="auto" w:fill="auto"/>
          </w:tcPr>
          <w:p w14:paraId="5A91DA3E" w14:textId="5414F009" w:rsidR="009B74E9" w:rsidRDefault="005D5D85">
            <w:pPr>
              <w:spacing w:line="480" w:lineRule="atLeast"/>
              <w:rPr>
                <w:rFonts w:ascii="宋体" w:hAnsi="宋体" w:hint="eastAsia"/>
                <w:bCs/>
                <w:iCs/>
                <w:sz w:val="24"/>
                <w:szCs w:val="24"/>
              </w:rPr>
            </w:pPr>
            <w:r>
              <w:rPr>
                <w:rFonts w:ascii="宋体" w:hAnsi="宋体" w:hint="eastAsia"/>
                <w:bCs/>
                <w:iCs/>
                <w:sz w:val="24"/>
                <w:szCs w:val="24"/>
              </w:rPr>
              <w:t>2025年0</w:t>
            </w:r>
            <w:r w:rsidR="001C7E6F">
              <w:rPr>
                <w:rFonts w:ascii="宋体" w:hAnsi="宋体" w:hint="eastAsia"/>
                <w:bCs/>
                <w:iCs/>
                <w:sz w:val="24"/>
                <w:szCs w:val="24"/>
              </w:rPr>
              <w:t>6</w:t>
            </w:r>
            <w:r>
              <w:rPr>
                <w:rFonts w:ascii="宋体" w:hAnsi="宋体" w:hint="eastAsia"/>
                <w:bCs/>
                <w:iCs/>
                <w:sz w:val="24"/>
                <w:szCs w:val="24"/>
              </w:rPr>
              <w:t>月</w:t>
            </w:r>
            <w:r w:rsidR="001C7E6F">
              <w:rPr>
                <w:rFonts w:ascii="宋体" w:hAnsi="宋体" w:hint="eastAsia"/>
                <w:bCs/>
                <w:iCs/>
                <w:sz w:val="24"/>
                <w:szCs w:val="24"/>
              </w:rPr>
              <w:t>04</w:t>
            </w:r>
            <w:r>
              <w:rPr>
                <w:rFonts w:ascii="宋体" w:hAnsi="宋体" w:hint="eastAsia"/>
                <w:bCs/>
                <w:iCs/>
                <w:sz w:val="24"/>
                <w:szCs w:val="24"/>
              </w:rPr>
              <w:t>日</w:t>
            </w:r>
          </w:p>
        </w:tc>
      </w:tr>
    </w:tbl>
    <w:p w14:paraId="2BFF7EF1" w14:textId="77777777" w:rsidR="009B74E9" w:rsidRDefault="009B74E9">
      <w:pPr>
        <w:ind w:firstLineChars="200" w:firstLine="480"/>
        <w:rPr>
          <w:sz w:val="24"/>
          <w:szCs w:val="24"/>
        </w:rPr>
      </w:pPr>
    </w:p>
    <w:p w14:paraId="03B5AC76" w14:textId="77777777" w:rsidR="009B74E9" w:rsidRDefault="009B74E9"/>
    <w:sectPr w:rsidR="009B7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E5F4" w14:textId="77777777" w:rsidR="00A55DD9" w:rsidRDefault="00A55DD9" w:rsidP="000567C9">
      <w:r>
        <w:separator/>
      </w:r>
    </w:p>
  </w:endnote>
  <w:endnote w:type="continuationSeparator" w:id="0">
    <w:p w14:paraId="6772FF60" w14:textId="77777777" w:rsidR="00A55DD9" w:rsidRDefault="00A55DD9" w:rsidP="0005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DCD8" w14:textId="77777777" w:rsidR="00A55DD9" w:rsidRDefault="00A55DD9" w:rsidP="000567C9">
      <w:r>
        <w:separator/>
      </w:r>
    </w:p>
  </w:footnote>
  <w:footnote w:type="continuationSeparator" w:id="0">
    <w:p w14:paraId="72FA5185" w14:textId="77777777" w:rsidR="00A55DD9" w:rsidRDefault="00A55DD9" w:rsidP="0005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05B4"/>
    <w:multiLevelType w:val="hybridMultilevel"/>
    <w:tmpl w:val="9A9E39BA"/>
    <w:lvl w:ilvl="0" w:tplc="9C701D84">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2078DE"/>
    <w:multiLevelType w:val="hybridMultilevel"/>
    <w:tmpl w:val="EB8CF606"/>
    <w:lvl w:ilvl="0" w:tplc="DC2C2384">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4B0721D"/>
    <w:multiLevelType w:val="hybridMultilevel"/>
    <w:tmpl w:val="555290AC"/>
    <w:lvl w:ilvl="0" w:tplc="029EE2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33774815">
    <w:abstractNumId w:val="2"/>
  </w:num>
  <w:num w:numId="2" w16cid:durableId="1219629031">
    <w:abstractNumId w:val="0"/>
  </w:num>
  <w:num w:numId="3" w16cid:durableId="50240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12FF9"/>
    <w:rsid w:val="00026B32"/>
    <w:rsid w:val="000319E4"/>
    <w:rsid w:val="000567C9"/>
    <w:rsid w:val="0007685E"/>
    <w:rsid w:val="000B749A"/>
    <w:rsid w:val="001471A8"/>
    <w:rsid w:val="001C7E6F"/>
    <w:rsid w:val="001D4ADB"/>
    <w:rsid w:val="002506CB"/>
    <w:rsid w:val="002738EB"/>
    <w:rsid w:val="002A5AE9"/>
    <w:rsid w:val="002C236D"/>
    <w:rsid w:val="002E4C56"/>
    <w:rsid w:val="00341F42"/>
    <w:rsid w:val="00353A22"/>
    <w:rsid w:val="00390F87"/>
    <w:rsid w:val="003A2F8E"/>
    <w:rsid w:val="00400BF7"/>
    <w:rsid w:val="00402F61"/>
    <w:rsid w:val="00406E0C"/>
    <w:rsid w:val="004141EC"/>
    <w:rsid w:val="004679DD"/>
    <w:rsid w:val="0048673F"/>
    <w:rsid w:val="004B273D"/>
    <w:rsid w:val="004B50E8"/>
    <w:rsid w:val="00507C47"/>
    <w:rsid w:val="005D4382"/>
    <w:rsid w:val="005D5D85"/>
    <w:rsid w:val="00607ACD"/>
    <w:rsid w:val="00637635"/>
    <w:rsid w:val="00656DA9"/>
    <w:rsid w:val="006627D7"/>
    <w:rsid w:val="006665D0"/>
    <w:rsid w:val="00684C11"/>
    <w:rsid w:val="00687C01"/>
    <w:rsid w:val="006B0E6C"/>
    <w:rsid w:val="006B7EA4"/>
    <w:rsid w:val="006E5E91"/>
    <w:rsid w:val="00711003"/>
    <w:rsid w:val="00733B61"/>
    <w:rsid w:val="007A7869"/>
    <w:rsid w:val="007F5CBB"/>
    <w:rsid w:val="0082608C"/>
    <w:rsid w:val="00834152"/>
    <w:rsid w:val="00847741"/>
    <w:rsid w:val="008920C5"/>
    <w:rsid w:val="008A05FF"/>
    <w:rsid w:val="008B50AF"/>
    <w:rsid w:val="008C2311"/>
    <w:rsid w:val="008D6036"/>
    <w:rsid w:val="008F7B68"/>
    <w:rsid w:val="00915919"/>
    <w:rsid w:val="0094524F"/>
    <w:rsid w:val="0095082C"/>
    <w:rsid w:val="009B74E9"/>
    <w:rsid w:val="009E28F7"/>
    <w:rsid w:val="009F7FC9"/>
    <w:rsid w:val="00A14C40"/>
    <w:rsid w:val="00A55DD9"/>
    <w:rsid w:val="00B540CC"/>
    <w:rsid w:val="00B5502C"/>
    <w:rsid w:val="00B9522E"/>
    <w:rsid w:val="00BA22D8"/>
    <w:rsid w:val="00BA7566"/>
    <w:rsid w:val="00BB062A"/>
    <w:rsid w:val="00C04C5F"/>
    <w:rsid w:val="00C1199C"/>
    <w:rsid w:val="00C34A89"/>
    <w:rsid w:val="00C42A9B"/>
    <w:rsid w:val="00C43D8D"/>
    <w:rsid w:val="00CA4B6F"/>
    <w:rsid w:val="00D275D1"/>
    <w:rsid w:val="00E21A42"/>
    <w:rsid w:val="00E60C15"/>
    <w:rsid w:val="00E63305"/>
    <w:rsid w:val="00E977B9"/>
    <w:rsid w:val="00F0255E"/>
    <w:rsid w:val="00FB0A30"/>
    <w:rsid w:val="00FD5FFE"/>
    <w:rsid w:val="00FF0C19"/>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FAE6"/>
  <w15:docId w15:val="{FFD22677-0B32-4F63-8DDB-3BD5008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99"/>
    <w:unhideWhenUsed/>
    <w:rsid w:val="00B952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碧青 吴</cp:lastModifiedBy>
  <cp:revision>34</cp:revision>
  <dcterms:created xsi:type="dcterms:W3CDTF">2021-03-02T08:03:00Z</dcterms:created>
  <dcterms:modified xsi:type="dcterms:W3CDTF">2025-06-04T06:21:00Z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8ECDA022CAA841048473D2EBD0508557</vt:lpwstr>
  </property>
</Properties>
</file>