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0CAE8">
      <w:pPr>
        <w:jc w:val="center"/>
        <w:rPr>
          <w:rFonts w:hint="default" w:asciiTheme="majorEastAsia" w:hAnsiTheme="majorEastAsia" w:eastAsiaTheme="majorEastAsia"/>
          <w:sz w:val="28"/>
          <w:szCs w:val="28"/>
          <w:lang w:val="en-US" w:eastAsia="zh-CN"/>
        </w:rPr>
      </w:pPr>
      <w:r>
        <w:rPr>
          <w:rFonts w:hint="eastAsia" w:asciiTheme="majorEastAsia" w:hAnsiTheme="majorEastAsia" w:eastAsiaTheme="majorEastAsia"/>
          <w:sz w:val="28"/>
          <w:szCs w:val="28"/>
        </w:rPr>
        <w:t>证券代码：</w:t>
      </w:r>
      <w:r>
        <w:rPr>
          <w:rFonts w:hint="default" w:ascii="Times New Roman" w:hAnsi="Times New Roman" w:cs="Times New Roman" w:eastAsiaTheme="majorEastAsia"/>
          <w:sz w:val="28"/>
          <w:szCs w:val="28"/>
        </w:rPr>
        <w:t>60</w:t>
      </w:r>
      <w:r>
        <w:rPr>
          <w:rFonts w:hint="default" w:ascii="Times New Roman" w:hAnsi="Times New Roman" w:cs="Times New Roman" w:eastAsiaTheme="majorEastAsia"/>
          <w:sz w:val="28"/>
          <w:szCs w:val="28"/>
          <w:lang w:val="en-US" w:eastAsia="zh-CN"/>
        </w:rPr>
        <w:t>1007</w:t>
      </w:r>
      <w:r>
        <w:rPr>
          <w:rFonts w:hint="eastAsia" w:asciiTheme="majorEastAsia" w:hAnsiTheme="majorEastAsia" w:eastAsiaTheme="majorEastAsia"/>
          <w:sz w:val="28"/>
          <w:szCs w:val="28"/>
        </w:rPr>
        <w:t xml:space="preserve">                      证券简称：</w:t>
      </w:r>
      <w:r>
        <w:rPr>
          <w:rFonts w:hint="eastAsia" w:asciiTheme="majorEastAsia" w:hAnsiTheme="majorEastAsia" w:eastAsiaTheme="majorEastAsia"/>
          <w:sz w:val="28"/>
          <w:szCs w:val="28"/>
          <w:lang w:val="en-US" w:eastAsia="zh-CN"/>
        </w:rPr>
        <w:t>金陵饭店</w:t>
      </w:r>
    </w:p>
    <w:p w14:paraId="3F4C058A">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lang w:val="en-US" w:eastAsia="zh-CN"/>
        </w:rPr>
        <w:t>金陵饭店</w:t>
      </w:r>
      <w:r>
        <w:rPr>
          <w:rFonts w:hint="eastAsia" w:asciiTheme="majorEastAsia" w:hAnsiTheme="majorEastAsia" w:eastAsiaTheme="majorEastAsia"/>
          <w:b/>
          <w:sz w:val="30"/>
          <w:szCs w:val="30"/>
        </w:rPr>
        <w:t>股份有限公司</w:t>
      </w:r>
    </w:p>
    <w:p w14:paraId="7BA5AD5A">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投资者关系活动记录表</w:t>
      </w:r>
    </w:p>
    <w:tbl>
      <w:tblPr>
        <w:tblStyle w:val="7"/>
        <w:tblW w:w="8989" w:type="dxa"/>
        <w:tblInd w:w="-2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37"/>
        <w:gridCol w:w="6952"/>
      </w:tblGrid>
      <w:tr w14:paraId="10579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6" w:hRule="atLeast"/>
        </w:trPr>
        <w:tc>
          <w:tcPr>
            <w:tcW w:w="2037" w:type="dxa"/>
            <w:vAlign w:val="center"/>
          </w:tcPr>
          <w:p w14:paraId="46564C92">
            <w:pPr>
              <w:ind w:right="315"/>
              <w:jc w:val="center"/>
              <w:rPr>
                <w:rFonts w:asciiTheme="minorEastAsia" w:hAnsiTheme="minorEastAsia"/>
                <w:b/>
                <w:sz w:val="24"/>
                <w:szCs w:val="21"/>
              </w:rPr>
            </w:pPr>
            <w:r>
              <w:rPr>
                <w:rFonts w:hint="eastAsia" w:asciiTheme="minorEastAsia" w:hAnsiTheme="minorEastAsia"/>
                <w:b/>
                <w:sz w:val="24"/>
                <w:szCs w:val="21"/>
              </w:rPr>
              <w:t>投资者活动</w:t>
            </w:r>
          </w:p>
          <w:p w14:paraId="7C27D5BF">
            <w:pPr>
              <w:ind w:right="315"/>
              <w:jc w:val="center"/>
              <w:rPr>
                <w:rFonts w:asciiTheme="minorEastAsia" w:hAnsiTheme="minorEastAsia"/>
                <w:b/>
                <w:sz w:val="24"/>
                <w:szCs w:val="21"/>
              </w:rPr>
            </w:pPr>
            <w:r>
              <w:rPr>
                <w:rFonts w:hint="eastAsia" w:asciiTheme="minorEastAsia" w:hAnsiTheme="minorEastAsia"/>
                <w:b/>
                <w:sz w:val="24"/>
                <w:szCs w:val="21"/>
              </w:rPr>
              <w:t>类型</w:t>
            </w:r>
          </w:p>
        </w:tc>
        <w:tc>
          <w:tcPr>
            <w:tcW w:w="6952" w:type="dxa"/>
          </w:tcPr>
          <w:p w14:paraId="2E0AB282">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rPr>
              <w:t xml:space="preserve"> 特定对象调研        □分析师会议</w:t>
            </w:r>
          </w:p>
          <w:p w14:paraId="2FDEE66C">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rPr>
              <w:t xml:space="preserve"> 一对一沟通          √业绩说明会</w:t>
            </w:r>
          </w:p>
          <w:p w14:paraId="3C505A5B">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t xml:space="preserve">□ 媒体采访            </w:t>
            </w:r>
            <w:r>
              <w:rPr>
                <w:rFonts w:hint="eastAsia" w:asciiTheme="minorEastAsia" w:hAnsiTheme="minorEastAsia"/>
                <w:szCs w:val="21"/>
              </w:rPr>
              <w:sym w:font="Wingdings 2" w:char="00A3"/>
            </w:r>
            <w:r>
              <w:rPr>
                <w:rFonts w:hint="eastAsia" w:asciiTheme="minorEastAsia" w:hAnsiTheme="minorEastAsia"/>
                <w:szCs w:val="21"/>
              </w:rPr>
              <w:t>现场参观</w:t>
            </w:r>
          </w:p>
          <w:p w14:paraId="434DBFBD">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t>□ 新闻发布会          □ 其他_______</w:t>
            </w:r>
          </w:p>
        </w:tc>
      </w:tr>
      <w:tr w14:paraId="072901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trPr>
        <w:tc>
          <w:tcPr>
            <w:tcW w:w="2037" w:type="dxa"/>
            <w:vAlign w:val="center"/>
          </w:tcPr>
          <w:p w14:paraId="446116C7">
            <w:pPr>
              <w:ind w:right="315"/>
              <w:jc w:val="center"/>
              <w:rPr>
                <w:rFonts w:asciiTheme="minorEastAsia" w:hAnsiTheme="minorEastAsia"/>
                <w:b/>
                <w:sz w:val="24"/>
                <w:szCs w:val="21"/>
              </w:rPr>
            </w:pPr>
            <w:r>
              <w:rPr>
                <w:rFonts w:hint="eastAsia" w:asciiTheme="minorEastAsia" w:hAnsiTheme="minorEastAsia"/>
                <w:b/>
                <w:sz w:val="24"/>
                <w:szCs w:val="21"/>
              </w:rPr>
              <w:t>来访单位及</w:t>
            </w:r>
          </w:p>
          <w:p w14:paraId="6EB76372">
            <w:pPr>
              <w:ind w:right="315"/>
              <w:jc w:val="center"/>
              <w:rPr>
                <w:rFonts w:asciiTheme="minorEastAsia" w:hAnsiTheme="minorEastAsia"/>
                <w:b/>
                <w:sz w:val="24"/>
                <w:szCs w:val="21"/>
              </w:rPr>
            </w:pPr>
            <w:r>
              <w:rPr>
                <w:rFonts w:hint="eastAsia" w:asciiTheme="minorEastAsia" w:hAnsiTheme="minorEastAsia"/>
                <w:b/>
                <w:sz w:val="24"/>
                <w:szCs w:val="21"/>
              </w:rPr>
              <w:t>人员基本信息</w:t>
            </w:r>
          </w:p>
        </w:tc>
        <w:tc>
          <w:tcPr>
            <w:tcW w:w="6952" w:type="dxa"/>
            <w:vAlign w:val="center"/>
          </w:tcPr>
          <w:p w14:paraId="789108EA">
            <w:pPr>
              <w:tabs>
                <w:tab w:val="center" w:pos="2798"/>
              </w:tabs>
              <w:spacing w:line="276" w:lineRule="auto"/>
              <w:jc w:val="center"/>
              <w:rPr>
                <w:rFonts w:hint="default" w:ascii="Times New Roman" w:hAnsi="Times New Roman" w:cs="Times New Roman"/>
                <w:bCs/>
                <w:iCs/>
                <w:szCs w:val="21"/>
              </w:rPr>
            </w:pPr>
            <w:r>
              <w:rPr>
                <w:rFonts w:hint="default" w:ascii="Times New Roman" w:hAnsi="Times New Roman" w:cs="Times New Roman"/>
                <w:bCs/>
                <w:iCs/>
                <w:szCs w:val="21"/>
              </w:rPr>
              <w:t>投资者与公司通过网络进行文字互动交流</w:t>
            </w:r>
          </w:p>
        </w:tc>
      </w:tr>
      <w:tr w14:paraId="7FE7FB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2037" w:type="dxa"/>
            <w:vAlign w:val="center"/>
          </w:tcPr>
          <w:p w14:paraId="7CC13E27">
            <w:pPr>
              <w:ind w:right="315"/>
              <w:jc w:val="center"/>
              <w:rPr>
                <w:rFonts w:asciiTheme="minorEastAsia" w:hAnsiTheme="minorEastAsia"/>
                <w:b/>
                <w:sz w:val="24"/>
                <w:szCs w:val="21"/>
              </w:rPr>
            </w:pPr>
            <w:r>
              <w:rPr>
                <w:rFonts w:hint="eastAsia" w:asciiTheme="minorEastAsia" w:hAnsiTheme="minorEastAsia"/>
                <w:b/>
                <w:sz w:val="24"/>
                <w:szCs w:val="21"/>
              </w:rPr>
              <w:t>时间</w:t>
            </w:r>
          </w:p>
        </w:tc>
        <w:tc>
          <w:tcPr>
            <w:tcW w:w="6952" w:type="dxa"/>
            <w:vAlign w:val="center"/>
          </w:tcPr>
          <w:p w14:paraId="02587DC3">
            <w:pPr>
              <w:tabs>
                <w:tab w:val="center" w:pos="2798"/>
              </w:tabs>
              <w:spacing w:line="276" w:lineRule="auto"/>
              <w:jc w:val="center"/>
              <w:rPr>
                <w:rFonts w:hint="default" w:ascii="Times New Roman" w:hAnsi="Times New Roman" w:cs="Times New Roman"/>
                <w:szCs w:val="21"/>
              </w:rPr>
            </w:pPr>
            <w:r>
              <w:rPr>
                <w:rFonts w:hint="default" w:ascii="Times New Roman" w:hAnsi="Times New Roman" w:cs="Times New Roman"/>
                <w:bCs/>
                <w:iCs/>
                <w:szCs w:val="21"/>
              </w:rPr>
              <w:t>202</w:t>
            </w:r>
            <w:r>
              <w:rPr>
                <w:rFonts w:hint="eastAsia" w:ascii="Times New Roman" w:hAnsi="Times New Roman" w:cs="Times New Roman"/>
                <w:bCs/>
                <w:iCs/>
                <w:szCs w:val="21"/>
                <w:lang w:val="en-US" w:eastAsia="zh-CN"/>
              </w:rPr>
              <w:t>5</w:t>
            </w:r>
            <w:r>
              <w:rPr>
                <w:rFonts w:hint="default" w:ascii="Times New Roman" w:hAnsi="Times New Roman" w:cs="Times New Roman"/>
                <w:bCs/>
                <w:iCs/>
                <w:szCs w:val="21"/>
              </w:rPr>
              <w:t>年</w:t>
            </w:r>
            <w:r>
              <w:rPr>
                <w:rFonts w:hint="eastAsia" w:ascii="Times New Roman" w:hAnsi="Times New Roman" w:cs="Times New Roman"/>
                <w:bCs/>
                <w:iCs/>
                <w:szCs w:val="21"/>
                <w:lang w:val="en-US" w:eastAsia="zh-CN"/>
              </w:rPr>
              <w:t>6</w:t>
            </w:r>
            <w:r>
              <w:rPr>
                <w:rFonts w:hint="default" w:ascii="Times New Roman" w:hAnsi="Times New Roman" w:cs="Times New Roman"/>
                <w:bCs/>
                <w:iCs/>
                <w:szCs w:val="21"/>
              </w:rPr>
              <w:t>月</w:t>
            </w:r>
            <w:r>
              <w:rPr>
                <w:rFonts w:hint="eastAsia" w:ascii="Times New Roman" w:hAnsi="Times New Roman" w:cs="Times New Roman"/>
                <w:bCs/>
                <w:iCs/>
                <w:szCs w:val="21"/>
                <w:lang w:val="en-US" w:eastAsia="zh-CN"/>
              </w:rPr>
              <w:t>6</w:t>
            </w:r>
            <w:r>
              <w:rPr>
                <w:rFonts w:hint="default" w:ascii="Times New Roman" w:hAnsi="Times New Roman" w:cs="Times New Roman"/>
                <w:bCs/>
                <w:iCs/>
                <w:szCs w:val="21"/>
              </w:rPr>
              <w:t xml:space="preserve">日 </w:t>
            </w:r>
            <w:r>
              <w:rPr>
                <w:rFonts w:hint="default" w:ascii="Times New Roman" w:hAnsi="Times New Roman" w:cs="Times New Roman"/>
                <w:bCs/>
                <w:iCs/>
                <w:szCs w:val="21"/>
                <w:lang w:val="en-US" w:eastAsia="zh-CN"/>
              </w:rPr>
              <w:t>10</w:t>
            </w:r>
            <w:r>
              <w:rPr>
                <w:rFonts w:hint="default" w:ascii="Times New Roman" w:hAnsi="Times New Roman" w:cs="Times New Roman"/>
                <w:bCs/>
                <w:iCs/>
                <w:szCs w:val="21"/>
              </w:rPr>
              <w:t>:</w:t>
            </w:r>
            <w:r>
              <w:rPr>
                <w:rFonts w:hint="eastAsia" w:ascii="Times New Roman" w:hAnsi="Times New Roman" w:cs="Times New Roman"/>
                <w:bCs/>
                <w:iCs/>
                <w:szCs w:val="21"/>
                <w:lang w:val="en-US" w:eastAsia="zh-CN"/>
              </w:rPr>
              <w:t>3</w:t>
            </w:r>
            <w:r>
              <w:rPr>
                <w:rFonts w:hint="default" w:ascii="Times New Roman" w:hAnsi="Times New Roman" w:cs="Times New Roman"/>
                <w:bCs/>
                <w:iCs/>
                <w:szCs w:val="21"/>
              </w:rPr>
              <w:t>0-1</w:t>
            </w:r>
            <w:r>
              <w:rPr>
                <w:rFonts w:hint="default" w:ascii="Times New Roman" w:hAnsi="Times New Roman" w:cs="Times New Roman"/>
                <w:bCs/>
                <w:iCs/>
                <w:szCs w:val="21"/>
                <w:lang w:val="en-US" w:eastAsia="zh-CN"/>
              </w:rPr>
              <w:t>1</w:t>
            </w:r>
            <w:r>
              <w:rPr>
                <w:rFonts w:hint="default" w:ascii="Times New Roman" w:hAnsi="Times New Roman" w:cs="Times New Roman"/>
                <w:bCs/>
                <w:iCs/>
                <w:szCs w:val="21"/>
              </w:rPr>
              <w:t>:</w:t>
            </w:r>
            <w:r>
              <w:rPr>
                <w:rFonts w:hint="eastAsia" w:ascii="Times New Roman" w:hAnsi="Times New Roman" w:cs="Times New Roman"/>
                <w:bCs/>
                <w:iCs/>
                <w:szCs w:val="21"/>
                <w:lang w:val="en-US" w:eastAsia="zh-CN"/>
              </w:rPr>
              <w:t>3</w:t>
            </w:r>
            <w:r>
              <w:rPr>
                <w:rFonts w:hint="default" w:ascii="Times New Roman" w:hAnsi="Times New Roman" w:cs="Times New Roman"/>
                <w:bCs/>
                <w:iCs/>
                <w:szCs w:val="21"/>
              </w:rPr>
              <w:t>0</w:t>
            </w:r>
          </w:p>
        </w:tc>
      </w:tr>
      <w:tr w14:paraId="6A7EC6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2037" w:type="dxa"/>
            <w:vAlign w:val="center"/>
          </w:tcPr>
          <w:p w14:paraId="78E6A049">
            <w:pPr>
              <w:ind w:right="315"/>
              <w:jc w:val="center"/>
              <w:rPr>
                <w:rFonts w:asciiTheme="minorEastAsia" w:hAnsiTheme="minorEastAsia"/>
                <w:b/>
                <w:sz w:val="24"/>
                <w:szCs w:val="21"/>
              </w:rPr>
            </w:pPr>
            <w:r>
              <w:rPr>
                <w:rFonts w:hint="eastAsia" w:asciiTheme="minorEastAsia" w:hAnsiTheme="minorEastAsia"/>
                <w:b/>
                <w:sz w:val="24"/>
                <w:szCs w:val="21"/>
              </w:rPr>
              <w:t>地点</w:t>
            </w:r>
          </w:p>
        </w:tc>
        <w:tc>
          <w:tcPr>
            <w:tcW w:w="6952" w:type="dxa"/>
            <w:tcBorders>
              <w:top w:val="nil"/>
            </w:tcBorders>
            <w:vAlign w:val="center"/>
          </w:tcPr>
          <w:p w14:paraId="7A7536EF">
            <w:pPr>
              <w:spacing w:line="276" w:lineRule="auto"/>
              <w:ind w:right="315"/>
              <w:jc w:val="center"/>
              <w:rPr>
                <w:rFonts w:hint="default" w:ascii="Times New Roman" w:hAnsi="Times New Roman" w:cs="Times New Roman"/>
                <w:szCs w:val="21"/>
              </w:rPr>
            </w:pPr>
            <w:r>
              <w:rPr>
                <w:rFonts w:hint="default" w:ascii="Times New Roman" w:hAnsi="Times New Roman" w:cs="Times New Roman"/>
                <w:szCs w:val="21"/>
              </w:rPr>
              <w:t>上海证券交易所上证路演中心（http://roadshow.sseinfo.com/）</w:t>
            </w:r>
          </w:p>
        </w:tc>
      </w:tr>
      <w:tr w14:paraId="7BDE2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9" w:hRule="atLeast"/>
        </w:trPr>
        <w:tc>
          <w:tcPr>
            <w:tcW w:w="2037" w:type="dxa"/>
            <w:vAlign w:val="center"/>
          </w:tcPr>
          <w:p w14:paraId="62B37057">
            <w:pPr>
              <w:ind w:right="315"/>
              <w:jc w:val="center"/>
              <w:rPr>
                <w:rFonts w:asciiTheme="minorEastAsia" w:hAnsiTheme="minorEastAsia"/>
                <w:b/>
                <w:sz w:val="24"/>
                <w:szCs w:val="21"/>
              </w:rPr>
            </w:pPr>
            <w:r>
              <w:rPr>
                <w:rFonts w:hint="eastAsia" w:asciiTheme="minorEastAsia" w:hAnsiTheme="minorEastAsia"/>
                <w:b/>
                <w:sz w:val="24"/>
                <w:szCs w:val="21"/>
              </w:rPr>
              <w:t>上市公司参加人员</w:t>
            </w:r>
          </w:p>
        </w:tc>
        <w:tc>
          <w:tcPr>
            <w:tcW w:w="6952" w:type="dxa"/>
            <w:vAlign w:val="center"/>
          </w:tcPr>
          <w:p w14:paraId="6DD9A2FE">
            <w:pPr>
              <w:spacing w:line="276" w:lineRule="auto"/>
              <w:ind w:firstLine="1470" w:firstLineChars="700"/>
              <w:jc w:val="both"/>
              <w:rPr>
                <w:rFonts w:hint="default" w:ascii="Times New Roman" w:hAnsi="Times New Roman" w:cs="Times New Roman"/>
                <w:bCs/>
                <w:iCs/>
                <w:szCs w:val="21"/>
                <w:lang w:val="en-US" w:eastAsia="zh-CN"/>
              </w:rPr>
            </w:pPr>
            <w:r>
              <w:rPr>
                <w:rFonts w:hint="default" w:ascii="Times New Roman" w:hAnsi="Times New Roman" w:cs="Times New Roman"/>
                <w:bCs/>
                <w:iCs/>
                <w:szCs w:val="21"/>
                <w:lang w:val="en-US" w:eastAsia="zh-CN"/>
              </w:rPr>
              <w:t>董事、</w:t>
            </w:r>
            <w:r>
              <w:rPr>
                <w:rFonts w:hint="default" w:ascii="Times New Roman" w:hAnsi="Times New Roman" w:cs="Times New Roman"/>
                <w:bCs/>
                <w:iCs/>
                <w:szCs w:val="21"/>
              </w:rPr>
              <w:t>总经理：</w:t>
            </w:r>
            <w:r>
              <w:rPr>
                <w:rFonts w:hint="default" w:ascii="Times New Roman" w:hAnsi="Times New Roman" w:cs="Times New Roman"/>
                <w:bCs/>
                <w:iCs/>
                <w:szCs w:val="21"/>
                <w:lang w:val="en-US" w:eastAsia="zh-CN"/>
              </w:rPr>
              <w:t>张胜新先生</w:t>
            </w:r>
          </w:p>
          <w:p w14:paraId="5857B93D">
            <w:pPr>
              <w:spacing w:line="276" w:lineRule="auto"/>
              <w:ind w:firstLine="1470" w:firstLineChars="700"/>
              <w:jc w:val="both"/>
              <w:rPr>
                <w:rFonts w:hint="default" w:ascii="Times New Roman" w:hAnsi="Times New Roman" w:cs="Times New Roman"/>
                <w:bCs/>
                <w:iCs/>
                <w:szCs w:val="21"/>
                <w:lang w:val="en-US" w:eastAsia="zh-CN"/>
              </w:rPr>
            </w:pPr>
            <w:r>
              <w:rPr>
                <w:rFonts w:hint="default" w:ascii="Times New Roman" w:hAnsi="Times New Roman" w:cs="Times New Roman"/>
                <w:bCs/>
                <w:iCs/>
                <w:szCs w:val="21"/>
                <w:lang w:val="en-US" w:eastAsia="zh-CN"/>
              </w:rPr>
              <w:t>独立董事：</w:t>
            </w:r>
            <w:r>
              <w:rPr>
                <w:rFonts w:hint="eastAsia" w:ascii="Times New Roman" w:hAnsi="Times New Roman" w:cs="Times New Roman"/>
                <w:bCs/>
                <w:iCs/>
                <w:szCs w:val="21"/>
                <w:lang w:val="en-US" w:eastAsia="zh-CN"/>
              </w:rPr>
              <w:t>虞丽新女士</w:t>
            </w:r>
          </w:p>
          <w:p w14:paraId="633F3D1F">
            <w:pPr>
              <w:spacing w:line="276" w:lineRule="auto"/>
              <w:ind w:firstLine="1470" w:firstLineChars="700"/>
              <w:jc w:val="both"/>
              <w:rPr>
                <w:rFonts w:hint="default" w:ascii="Times New Roman" w:hAnsi="Times New Roman" w:cs="Times New Roman"/>
                <w:bCs/>
                <w:iCs/>
                <w:szCs w:val="21"/>
              </w:rPr>
            </w:pPr>
            <w:bookmarkStart w:id="0" w:name="_GoBack"/>
            <w:bookmarkEnd w:id="0"/>
            <w:r>
              <w:rPr>
                <w:rFonts w:hint="default" w:ascii="Times New Roman" w:hAnsi="Times New Roman" w:cs="Times New Roman"/>
                <w:bCs/>
                <w:iCs/>
                <w:szCs w:val="21"/>
                <w:lang w:val="en-US" w:eastAsia="zh-CN"/>
              </w:rPr>
              <w:t>副总经理</w:t>
            </w:r>
            <w:r>
              <w:rPr>
                <w:rFonts w:hint="default" w:ascii="Times New Roman" w:hAnsi="Times New Roman" w:cs="Times New Roman"/>
                <w:bCs/>
                <w:iCs/>
                <w:szCs w:val="21"/>
                <w:lang w:eastAsia="zh-CN"/>
              </w:rPr>
              <w:t>、</w:t>
            </w:r>
            <w:r>
              <w:rPr>
                <w:rFonts w:hint="default" w:ascii="Times New Roman" w:hAnsi="Times New Roman" w:cs="Times New Roman"/>
                <w:bCs/>
                <w:iCs/>
                <w:szCs w:val="21"/>
              </w:rPr>
              <w:t>董事会秘书：</w:t>
            </w:r>
            <w:r>
              <w:rPr>
                <w:rFonts w:hint="default" w:ascii="Times New Roman" w:hAnsi="Times New Roman" w:cs="Times New Roman"/>
                <w:bCs/>
                <w:iCs/>
                <w:szCs w:val="21"/>
                <w:lang w:val="en-US" w:eastAsia="zh-CN"/>
              </w:rPr>
              <w:t>刘羽欣</w:t>
            </w:r>
            <w:r>
              <w:rPr>
                <w:rFonts w:hint="default" w:ascii="Times New Roman" w:hAnsi="Times New Roman" w:cs="Times New Roman"/>
                <w:bCs/>
                <w:iCs/>
                <w:szCs w:val="21"/>
              </w:rPr>
              <w:t>先生</w:t>
            </w:r>
          </w:p>
          <w:p w14:paraId="24291838">
            <w:pPr>
              <w:spacing w:line="276" w:lineRule="auto"/>
              <w:ind w:firstLine="1470" w:firstLineChars="700"/>
              <w:jc w:val="both"/>
              <w:rPr>
                <w:rFonts w:hint="default" w:ascii="Times New Roman" w:hAnsi="Times New Roman" w:cs="Times New Roman" w:eastAsiaTheme="minorEastAsia"/>
                <w:bCs/>
                <w:iCs/>
                <w:szCs w:val="21"/>
                <w:lang w:val="en-US" w:eastAsia="zh-CN"/>
              </w:rPr>
            </w:pPr>
            <w:r>
              <w:rPr>
                <w:rFonts w:hint="default" w:ascii="Times New Roman" w:hAnsi="Times New Roman" w:cs="Times New Roman"/>
                <w:bCs/>
                <w:iCs/>
                <w:szCs w:val="21"/>
                <w:lang w:val="en-US" w:eastAsia="zh-CN"/>
              </w:rPr>
              <w:t>财务负责人：史红伟</w:t>
            </w:r>
            <w:r>
              <w:rPr>
                <w:rFonts w:hint="default" w:ascii="Times New Roman" w:hAnsi="Times New Roman" w:cs="Times New Roman"/>
                <w:bCs/>
                <w:iCs/>
                <w:szCs w:val="21"/>
              </w:rPr>
              <w:t>先生</w:t>
            </w:r>
          </w:p>
        </w:tc>
      </w:tr>
      <w:tr w14:paraId="79365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trPr>
        <w:tc>
          <w:tcPr>
            <w:tcW w:w="2037" w:type="dxa"/>
            <w:vAlign w:val="center"/>
          </w:tcPr>
          <w:p w14:paraId="0D448B7A">
            <w:pPr>
              <w:ind w:right="315"/>
              <w:jc w:val="center"/>
              <w:rPr>
                <w:rFonts w:asciiTheme="minorEastAsia" w:hAnsiTheme="minorEastAsia"/>
                <w:b/>
                <w:sz w:val="24"/>
                <w:szCs w:val="21"/>
              </w:rPr>
            </w:pPr>
            <w:r>
              <w:rPr>
                <w:b/>
                <w:sz w:val="24"/>
              </w:rPr>
              <w:t>投资者关系活动主要内容介绍</w:t>
            </w:r>
          </w:p>
        </w:tc>
        <w:tc>
          <w:tcPr>
            <w:tcW w:w="6952" w:type="dxa"/>
            <w:vAlign w:val="center"/>
          </w:tcPr>
          <w:p w14:paraId="72F39FA3">
            <w:pPr>
              <w:pStyle w:val="11"/>
              <w:numPr>
                <w:ilvl w:val="0"/>
                <w:numId w:val="1"/>
              </w:numPr>
              <w:spacing w:line="276" w:lineRule="auto"/>
              <w:ind w:firstLineChars="0"/>
              <w:rPr>
                <w:rFonts w:hint="default" w:ascii="Times New Roman" w:hAnsi="Times New Roman" w:cs="Times New Roman"/>
                <w:bCs/>
                <w:iCs/>
                <w:szCs w:val="21"/>
              </w:rPr>
            </w:pPr>
            <w:r>
              <w:rPr>
                <w:rFonts w:hint="default" w:ascii="Times New Roman" w:hAnsi="Times New Roman" w:cs="Times New Roman"/>
                <w:bCs/>
                <w:iCs/>
                <w:szCs w:val="21"/>
              </w:rPr>
              <w:t>投资者问答</w:t>
            </w:r>
          </w:p>
          <w:p w14:paraId="5C23D80D">
            <w:pPr>
              <w:spacing w:line="276" w:lineRule="auto"/>
              <w:ind w:firstLine="422" w:firstLineChars="200"/>
              <w:rPr>
                <w:rFonts w:hint="default" w:ascii="Times New Roman" w:hAnsi="Times New Roman" w:cs="Times New Roman"/>
                <w:b/>
                <w:bCs w:val="0"/>
                <w:iCs/>
                <w:szCs w:val="21"/>
              </w:rPr>
            </w:pPr>
            <w:r>
              <w:rPr>
                <w:rFonts w:hint="default" w:ascii="Times New Roman" w:hAnsi="Times New Roman" w:cs="Times New Roman"/>
                <w:b/>
                <w:bCs w:val="0"/>
                <w:iCs/>
                <w:szCs w:val="21"/>
              </w:rPr>
              <w:t>1</w:t>
            </w:r>
            <w:r>
              <w:rPr>
                <w:rFonts w:hint="default" w:ascii="Times New Roman" w:hAnsi="Times New Roman" w:cs="Times New Roman"/>
                <w:b/>
                <w:bCs w:val="0"/>
                <w:iCs/>
                <w:szCs w:val="21"/>
                <w:lang w:val="en-US" w:eastAsia="zh-CN"/>
              </w:rPr>
              <w:t>、问：</w:t>
            </w:r>
            <w:r>
              <w:rPr>
                <w:rFonts w:hint="eastAsia" w:ascii="Times New Roman" w:hAnsi="Times New Roman" w:cs="Times New Roman"/>
                <w:b/>
                <w:bCs w:val="0"/>
                <w:iCs/>
                <w:szCs w:val="21"/>
                <w:lang w:val="en-US" w:eastAsia="zh-CN"/>
              </w:rPr>
              <w:t>（1）</w:t>
            </w:r>
            <w:r>
              <w:rPr>
                <w:rFonts w:hint="default" w:ascii="Times New Roman" w:hAnsi="Times New Roman" w:cs="Times New Roman"/>
                <w:b/>
                <w:bCs w:val="0"/>
                <w:iCs/>
                <w:szCs w:val="21"/>
                <w:lang w:val="en-US" w:eastAsia="zh-CN"/>
              </w:rPr>
              <w:t>2024年度，金陵饭店实现归属于上市公司股东的净利润3,325.89万元,同比下降45.77%。今年管理层拟通过哪些措施改善净利润，是否有明确的利润修复时间表？</w:t>
            </w:r>
            <w:r>
              <w:rPr>
                <w:rFonts w:hint="eastAsia" w:ascii="Times New Roman" w:hAnsi="Times New Roman" w:cs="Times New Roman"/>
                <w:b/>
                <w:bCs w:val="0"/>
                <w:iCs/>
                <w:szCs w:val="21"/>
                <w:lang w:val="en-US" w:eastAsia="zh-CN"/>
              </w:rPr>
              <w:t>（2）</w:t>
            </w:r>
            <w:r>
              <w:rPr>
                <w:rFonts w:hint="default" w:ascii="Times New Roman" w:hAnsi="Times New Roman" w:cs="Times New Roman"/>
                <w:b/>
                <w:bCs w:val="0"/>
                <w:iCs/>
                <w:szCs w:val="21"/>
                <w:lang w:val="en-US" w:eastAsia="zh-CN"/>
              </w:rPr>
              <w:t>截至2024年末，金陵饭店旗下连锁酒店相较2023年底净减少31家，降幅达到12.6%。今年1月，北京金陵饭店在开业4年后终止经营，是因为业绩不佳吗？请问今年的连锁酒店扩张计划是什么？在下沉市场有什么具体的规划？</w:t>
            </w:r>
          </w:p>
          <w:p w14:paraId="392853C7">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未来公司将通过强化品牌建设与规模扩张、数智化赋能运营提质增效、轻资产模式拓展下沉市场、绿色发展与产品创新、加强内外部资源整合等措施提升酒店业务的营收占比和毛利率水平。</w:t>
            </w:r>
          </w:p>
          <w:p w14:paraId="761A3193">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强化品牌建设与规模扩张：推进酒店板块品牌战略，完善品牌矩阵，通过“焕新计划”对自营及托管酒店进行硬件焕新、产品创新和服务升级，打造同地区、同档次标杆项目。同时，以全国化布局为方向，深耕长三角及国内发达城市，加速连锁化进程，扩大市场影响力。轻资产模式拓展下沉市场：利用特许经营、加盟等轻资产模式加速下沉市场布局，扩大品牌竞争力与市场影响力。</w:t>
            </w:r>
          </w:p>
          <w:p w14:paraId="66B51588">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数智化赋能运营提质增效：借助大数据、AI等技术，优化酒店预订、客户管理、智能入住、能耗管控等环节，完善“鲸灵”运营管理平台，提升精细化运营水平，降低运营成本，并通过智能化服务增强客户体验，创造效益增长空间。</w:t>
            </w:r>
          </w:p>
          <w:p w14:paraId="40A67A2A">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绿色发展与产品创新：实施“绿动金陵”行动计划，融入ESG理念，通过节能减排设备、绿色餐饮等举措降低能耗成本，并开发特色主题酒店及文化体验场景，满足多元化消费需求，提升产品溢价能力。</w:t>
            </w:r>
          </w:p>
          <w:p w14:paraId="239E4702">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加强内外部资源整合</w:t>
            </w:r>
            <w:r>
              <w:rPr>
                <w:rFonts w:hint="eastAsia" w:ascii="Times New Roman" w:hAnsi="Times New Roman" w:cs="Times New Roman"/>
                <w:bCs/>
                <w:iCs/>
                <w:szCs w:val="21"/>
                <w:lang w:eastAsia="zh-CN"/>
              </w:rPr>
              <w:t>：</w:t>
            </w:r>
            <w:r>
              <w:rPr>
                <w:rFonts w:hint="default" w:ascii="Times New Roman" w:hAnsi="Times New Roman" w:cs="Times New Roman"/>
                <w:bCs/>
                <w:iCs/>
                <w:szCs w:val="21"/>
              </w:rPr>
              <w:t>开展战略性资本运作，提升资源配置能力和价值创造能力。积极对接整合各级政府部门和央企、省属企业、文旅国资集团的优质资源，与境内外酒店集团加强品牌、业务、股权、系统、会员等多层面的战略合作。</w:t>
            </w:r>
          </w:p>
          <w:p w14:paraId="02341AFE">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2024年因合作方战略发生调整，公司参股投资的贵州贵宁达酒店管理股份有限公司逐步终止业务经营，因此金陵连锁酒店签约总数有所下降。</w:t>
            </w:r>
          </w:p>
          <w:p w14:paraId="43C82542">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北京金陵饭店租赁项目的提前终止，是基于公司对该项目未来经营产效的综合研判与预测，旨在优化公司资源配置，有效降低经营风险，提升经营质效，不会影响金陵全国化连锁布局的战略方向。</w:t>
            </w:r>
          </w:p>
          <w:p w14:paraId="7643C965">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公司将坚持以全国化战略布局作为攻坚方向，立足苏皖地区，深耕长三角、重点开拓国内发达城市和省会旅游城市，通过自营、联营、委托管理、特许经营等多种方式优化连锁酒店拓展模式，持续扩大金陵连锁酒店的市场影响力。感谢您对公司的关注！</w:t>
            </w:r>
          </w:p>
          <w:p w14:paraId="63534946">
            <w:pPr>
              <w:spacing w:line="276" w:lineRule="auto"/>
              <w:ind w:firstLine="315" w:firstLineChars="150"/>
              <w:rPr>
                <w:rFonts w:hint="default" w:ascii="Times New Roman" w:hAnsi="Times New Roman" w:cs="Times New Roman"/>
                <w:bCs/>
                <w:iCs/>
                <w:szCs w:val="21"/>
              </w:rPr>
            </w:pPr>
          </w:p>
          <w:p w14:paraId="24B89C0B">
            <w:pPr>
              <w:spacing w:line="276" w:lineRule="auto"/>
              <w:ind w:firstLine="422" w:firstLineChars="200"/>
              <w:rPr>
                <w:rFonts w:hint="default" w:ascii="Times New Roman" w:hAnsi="Times New Roman" w:cs="Times New Roman"/>
                <w:b/>
                <w:bCs w:val="0"/>
                <w:iCs/>
                <w:szCs w:val="21"/>
              </w:rPr>
            </w:pPr>
            <w:r>
              <w:rPr>
                <w:rFonts w:hint="default" w:ascii="Times New Roman" w:hAnsi="Times New Roman" w:cs="Times New Roman"/>
                <w:b/>
                <w:bCs w:val="0"/>
                <w:iCs/>
                <w:szCs w:val="21"/>
              </w:rPr>
              <w:t>2、</w:t>
            </w:r>
            <w:r>
              <w:rPr>
                <w:rFonts w:hint="default" w:ascii="Times New Roman" w:hAnsi="Times New Roman" w:cs="Times New Roman"/>
                <w:b/>
                <w:bCs w:val="0"/>
                <w:iCs/>
                <w:szCs w:val="21"/>
                <w:lang w:val="en-US" w:eastAsia="zh-CN"/>
              </w:rPr>
              <w:t>问：</w:t>
            </w:r>
            <w:r>
              <w:rPr>
                <w:rFonts w:hint="default" w:ascii="Times New Roman" w:hAnsi="Times New Roman" w:cs="Times New Roman"/>
                <w:b/>
                <w:bCs w:val="0"/>
                <w:iCs/>
                <w:szCs w:val="21"/>
              </w:rPr>
              <w:t>高管您好。请问贵公司本期财务报告中，盈利表现如何？谢谢。</w:t>
            </w:r>
          </w:p>
          <w:p w14:paraId="2EDE56E1">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答：尊敬的投资者您好！截至2025年第一季度末，公司总资产34.75亿元，比上年同期增长4.69%；归属于上市公司股东的所有者权益15.77亿元，比上年同期增长0.41%。</w:t>
            </w:r>
          </w:p>
          <w:p w14:paraId="3A01B5CD">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2025年第一季度，公司实现营业收入4.46亿元，同比下降20.48%；实现归属母公司所有者的净利润644.59万元，同比下降18.26%，主要系苏糖公司一季度利润较去年同期下降所致；实现扣非归母净利润520.81万元，同比增加3.34%，主要系酒店服务业务利润增加所致。感谢您对公司的关注！</w:t>
            </w:r>
          </w:p>
          <w:p w14:paraId="47BE35D0">
            <w:pPr>
              <w:spacing w:line="276" w:lineRule="auto"/>
              <w:ind w:firstLine="420" w:firstLineChars="200"/>
              <w:rPr>
                <w:rFonts w:hint="default" w:ascii="Times New Roman" w:hAnsi="Times New Roman" w:cs="Times New Roman"/>
                <w:bCs/>
                <w:iCs/>
                <w:szCs w:val="21"/>
              </w:rPr>
            </w:pPr>
          </w:p>
          <w:p w14:paraId="0BC60632">
            <w:pPr>
              <w:spacing w:line="276" w:lineRule="auto"/>
              <w:ind w:firstLine="422" w:firstLineChars="200"/>
              <w:rPr>
                <w:rFonts w:hint="default" w:ascii="Times New Roman" w:hAnsi="Times New Roman" w:cs="Times New Roman"/>
                <w:b/>
                <w:bCs w:val="0"/>
                <w:iCs/>
                <w:szCs w:val="21"/>
              </w:rPr>
            </w:pPr>
            <w:r>
              <w:rPr>
                <w:rFonts w:hint="default" w:ascii="Times New Roman" w:hAnsi="Times New Roman" w:cs="Times New Roman"/>
                <w:b/>
                <w:bCs w:val="0"/>
                <w:iCs/>
                <w:szCs w:val="21"/>
                <w:lang w:val="en-US" w:eastAsia="zh-CN"/>
              </w:rPr>
              <w:t>3</w:t>
            </w:r>
            <w:r>
              <w:rPr>
                <w:rFonts w:hint="default" w:ascii="Times New Roman" w:hAnsi="Times New Roman" w:cs="Times New Roman"/>
                <w:b/>
                <w:bCs w:val="0"/>
                <w:iCs/>
                <w:szCs w:val="21"/>
              </w:rPr>
              <w:t>、</w:t>
            </w:r>
            <w:r>
              <w:rPr>
                <w:rFonts w:hint="default" w:ascii="Times New Roman" w:hAnsi="Times New Roman" w:cs="Times New Roman"/>
                <w:b/>
                <w:bCs w:val="0"/>
                <w:iCs/>
                <w:szCs w:val="21"/>
                <w:lang w:val="en-US" w:eastAsia="zh-CN"/>
              </w:rPr>
              <w:t>问：公司本期盈利水平如何?</w:t>
            </w:r>
          </w:p>
          <w:p w14:paraId="4736A54B">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答：尊敬的投资者您好！截至2025年第一季度末，公司总资产34.75亿元，比上年同期增长4.69%；归属于上市公司股东的所有者权益15.77亿元，比上年同期增长0.41%。</w:t>
            </w:r>
          </w:p>
          <w:p w14:paraId="132E6877">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2025年第一季度，公司实现营业收入4.46亿元，同比下降20.48%；实现归属母公司所有者的净利润644.59万元，同比下降18.26%，主要系苏糖公司一季度利润较去年同期下降所致；实现扣非归母净利润520.81万元，同比增加3.34%，主要系酒店服务业务利润增加所致。感谢您对公司的关注！</w:t>
            </w:r>
          </w:p>
          <w:p w14:paraId="119B671A">
            <w:pPr>
              <w:spacing w:line="276" w:lineRule="auto"/>
              <w:rPr>
                <w:rFonts w:hint="default" w:ascii="Times New Roman" w:hAnsi="Times New Roman" w:cs="Times New Roman"/>
                <w:bCs/>
                <w:iCs/>
                <w:szCs w:val="21"/>
              </w:rPr>
            </w:pPr>
          </w:p>
          <w:p w14:paraId="0897FFC5">
            <w:pPr>
              <w:spacing w:line="276" w:lineRule="auto"/>
              <w:ind w:firstLine="422" w:firstLineChars="200"/>
              <w:rPr>
                <w:rFonts w:hint="default" w:ascii="Times New Roman" w:hAnsi="Times New Roman" w:cs="Times New Roman"/>
                <w:b/>
                <w:bCs w:val="0"/>
                <w:iCs/>
                <w:szCs w:val="21"/>
              </w:rPr>
            </w:pPr>
            <w:r>
              <w:rPr>
                <w:rFonts w:hint="default" w:ascii="Times New Roman" w:hAnsi="Times New Roman" w:cs="Times New Roman"/>
                <w:b/>
                <w:bCs w:val="0"/>
                <w:iCs/>
                <w:szCs w:val="21"/>
                <w:lang w:val="en-US" w:eastAsia="zh-CN"/>
              </w:rPr>
              <w:t>4</w:t>
            </w:r>
            <w:r>
              <w:rPr>
                <w:rFonts w:hint="default" w:ascii="Times New Roman" w:hAnsi="Times New Roman" w:cs="Times New Roman"/>
                <w:b/>
                <w:bCs w:val="0"/>
                <w:iCs/>
                <w:szCs w:val="21"/>
              </w:rPr>
              <w:t>、问：公司之后的盈利有什么增长点?</w:t>
            </w:r>
          </w:p>
          <w:p w14:paraId="7D060371">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答：尊敬的投资者您好！公司将</w:t>
            </w:r>
            <w:r>
              <w:rPr>
                <w:rFonts w:hint="eastAsia" w:ascii="Times New Roman" w:hAnsi="Times New Roman" w:cs="Times New Roman"/>
                <w:bCs/>
                <w:iCs/>
                <w:szCs w:val="21"/>
                <w:lang w:val="en-US" w:eastAsia="zh-CN"/>
              </w:rPr>
              <w:t>主要</w:t>
            </w:r>
            <w:r>
              <w:rPr>
                <w:rFonts w:hint="default" w:ascii="Times New Roman" w:hAnsi="Times New Roman" w:cs="Times New Roman"/>
                <w:bCs/>
                <w:iCs/>
                <w:szCs w:val="21"/>
              </w:rPr>
              <w:t>通过以下措施提升盈利水平：</w:t>
            </w:r>
          </w:p>
          <w:p w14:paraId="26B1D746">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1. 品牌化与数智化战略深化</w:t>
            </w:r>
          </w:p>
          <w:p w14:paraId="4F09E330">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公司以品牌化、数字化、资本化为核心引擎，致力于打造具有国际影响力的民族酒店品牌。通过数智化技术在酒店运营、客户体验、能耗管理等环节的深度应用，提升精细化运营水平与降本增效能力，预计将为盈利提供技术支撑。</w:t>
            </w:r>
          </w:p>
          <w:p w14:paraId="14973DE9">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2. 下沉市场与全国化布局</w:t>
            </w:r>
          </w:p>
          <w:p w14:paraId="14E3E570">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国内下沉市场的连锁化率提升空间较大，公司通过轻资产模式加速扩张。</w:t>
            </w:r>
          </w:p>
          <w:p w14:paraId="52380543">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3. 政策与消费环境利好</w:t>
            </w:r>
          </w:p>
          <w:p w14:paraId="36ACED2C">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国家政策支持服务消费和文化旅游发展，优化免签政策释放出入境旅游需求。公司抓住行业回暖机遇，结合特色主题酒店和文化融合场景，有望吸引多元化客群，提升客单价与入住率。</w:t>
            </w:r>
          </w:p>
          <w:p w14:paraId="26C1863D">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4. 多元化业务协同发展</w:t>
            </w:r>
          </w:p>
          <w:p w14:paraId="54A69933">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公司积极延伸酒店产业链，将“金陵”品牌拓展至物业管理、食品科技等领域。食品科技板块通过技术研发转化和供应链整合，提升产品附加值，同时扩大商超、电商及团餐业务布局，开拓上市公司新的增长空间。</w:t>
            </w:r>
          </w:p>
          <w:p w14:paraId="78280DC4">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5. 绿色可持续发展</w:t>
            </w:r>
          </w:p>
          <w:p w14:paraId="0395E231">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ESG战略的推进（如节能减排设备应用、绿色采购）将降低长期运营成本，同时契合消费趋势，提升品牌价值与社会认可度，增强竞争力。</w:t>
            </w:r>
          </w:p>
          <w:p w14:paraId="6CB8725A">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综上，公司通过战略聚焦、技术创新、市场拓展及绿色转型，多维度驱动盈利增长，未来业绩值得期待。感谢您对公司的关注！</w:t>
            </w:r>
          </w:p>
          <w:p w14:paraId="1C86B4A8">
            <w:pPr>
              <w:spacing w:line="276" w:lineRule="auto"/>
              <w:rPr>
                <w:rFonts w:hint="default" w:ascii="Times New Roman" w:hAnsi="Times New Roman" w:cs="Times New Roman"/>
                <w:bCs/>
                <w:iCs/>
                <w:szCs w:val="21"/>
              </w:rPr>
            </w:pPr>
          </w:p>
          <w:p w14:paraId="6782BCD7">
            <w:pPr>
              <w:spacing w:line="276" w:lineRule="auto"/>
              <w:ind w:firstLine="422" w:firstLineChars="200"/>
              <w:rPr>
                <w:rFonts w:hint="default" w:ascii="Times New Roman" w:hAnsi="Times New Roman" w:cs="Times New Roman"/>
                <w:b/>
                <w:bCs w:val="0"/>
                <w:iCs/>
                <w:szCs w:val="21"/>
              </w:rPr>
            </w:pPr>
            <w:r>
              <w:rPr>
                <w:rFonts w:hint="eastAsia" w:ascii="Times New Roman" w:hAnsi="Times New Roman" w:cs="Times New Roman"/>
                <w:b/>
                <w:bCs w:val="0"/>
                <w:iCs/>
                <w:szCs w:val="21"/>
                <w:lang w:val="en-US" w:eastAsia="zh-CN"/>
              </w:rPr>
              <w:t>5</w:t>
            </w:r>
            <w:r>
              <w:rPr>
                <w:rFonts w:hint="default" w:ascii="Times New Roman" w:hAnsi="Times New Roman" w:cs="Times New Roman"/>
                <w:b/>
                <w:bCs w:val="0"/>
                <w:iCs/>
                <w:szCs w:val="21"/>
              </w:rPr>
              <w:t>、问：高管您好，请问贵公司未来盈利增长的主要驱动因素有哪些？谢谢。</w:t>
            </w:r>
          </w:p>
          <w:p w14:paraId="33C06308">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答：尊敬的投资者您好！公司将通过以下措施提升盈利水平：</w:t>
            </w:r>
          </w:p>
          <w:p w14:paraId="3C66DB97">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1. 品牌化与数智化战略深化</w:t>
            </w:r>
          </w:p>
          <w:p w14:paraId="46E8F585">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公司以品牌化、数字化、资本化为核心引擎，致力于打造具有国际影响力的民族酒店品牌。通过数智化技术在酒店运营、客户体验、能耗管理等环节的深度应用，提升精细化运营水平与降本增效能力，预计将为盈利提供技术支撑。</w:t>
            </w:r>
          </w:p>
          <w:p w14:paraId="46383040">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2. 下沉市场与全国化布局</w:t>
            </w:r>
          </w:p>
          <w:p w14:paraId="642563DD">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国内下沉市场的连锁化率提升空间较大，公司通过轻资产模式加速扩张。</w:t>
            </w:r>
          </w:p>
          <w:p w14:paraId="7D029E4A">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3. 政策与消费环境利好</w:t>
            </w:r>
          </w:p>
          <w:p w14:paraId="528C8A38">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国家政策支持服务消费和文化旅游发展，优化免签政策释放出入境旅游需求。公司抓住行业回暖机遇，结合特色主题酒店和文化融合场景，有望吸引多元化客群，提升客单价与入住率。</w:t>
            </w:r>
          </w:p>
          <w:p w14:paraId="32CA1F4F">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4. 多元化业务协同发展</w:t>
            </w:r>
          </w:p>
          <w:p w14:paraId="5677DD85">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公司积极延伸酒店产业链，将“金陵”品牌拓展至物业管理、食品科技等领域。食品科技板块通过技术研发转化和供应链整合，提升产品附加值，同时扩大商超、电商及团餐业务布局，开拓上市公司新的增长空间。</w:t>
            </w:r>
          </w:p>
          <w:p w14:paraId="3D191116">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5. 绿色可持续发展</w:t>
            </w:r>
          </w:p>
          <w:p w14:paraId="091021DB">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ESG战略的推进（如节能减排设备应用、绿色采购）将降低长期运营成本，同时契合消费趋势，提升品牌价值与社会认可度，增强竞争力。</w:t>
            </w:r>
          </w:p>
          <w:p w14:paraId="3B7F31E4">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综上，公司通过战略聚焦、技术创新、市场拓展及绿色转型，多维度驱动盈利增长，未来业绩值得期待。感谢您对公司的关注！</w:t>
            </w:r>
          </w:p>
          <w:p w14:paraId="7C56D977">
            <w:pPr>
              <w:spacing w:line="276" w:lineRule="auto"/>
              <w:rPr>
                <w:rFonts w:hint="default" w:ascii="Times New Roman" w:hAnsi="Times New Roman" w:cs="Times New Roman"/>
                <w:bCs/>
                <w:iCs/>
                <w:szCs w:val="21"/>
              </w:rPr>
            </w:pPr>
          </w:p>
          <w:p w14:paraId="58E21074">
            <w:pPr>
              <w:spacing w:line="276" w:lineRule="auto"/>
              <w:ind w:firstLine="422" w:firstLineChars="200"/>
              <w:rPr>
                <w:rFonts w:hint="default" w:ascii="Times New Roman" w:hAnsi="Times New Roman" w:cs="Times New Roman"/>
                <w:b/>
                <w:bCs w:val="0"/>
                <w:iCs/>
                <w:szCs w:val="21"/>
              </w:rPr>
            </w:pPr>
            <w:r>
              <w:rPr>
                <w:rFonts w:hint="eastAsia" w:ascii="Times New Roman" w:hAnsi="Times New Roman" w:cs="Times New Roman"/>
                <w:b/>
                <w:bCs w:val="0"/>
                <w:iCs/>
                <w:szCs w:val="21"/>
                <w:lang w:val="en-US" w:eastAsia="zh-CN"/>
              </w:rPr>
              <w:t>6</w:t>
            </w:r>
            <w:r>
              <w:rPr>
                <w:rFonts w:hint="default" w:ascii="Times New Roman" w:hAnsi="Times New Roman" w:cs="Times New Roman"/>
                <w:b/>
                <w:bCs w:val="0"/>
                <w:iCs/>
                <w:szCs w:val="21"/>
              </w:rPr>
              <w:t>、问：行业以后的发展前景怎样?</w:t>
            </w:r>
          </w:p>
          <w:p w14:paraId="66ADB028">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全球经济的不确定性加剧以及消费者信心的减弱对旅游酒店行业造成了不利影响，导致市场供需关系发生显著变化，旅游酒店市场多数呈现“量升价跌”趋势，而一些细分市场、下沉市场则遭遇了“量价齐跌”。酒店行业的市场竞争变得更加激烈。随着新酒店的不断开业，市场供过于求，行业内卷加剧，价格战激烈。这一现象在高星级酒店中尤为突出。</w:t>
            </w:r>
          </w:p>
          <w:p w14:paraId="31EC48BF">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预计未来酒店行业将呈现以下发展趋势：（1）下沉市场连锁化率的提升。（2）酒店结构升级的深化。随着消费者可支配收入的增加和对生活质量要求的提高，为了满足消费者更高层次的需求并增加自身收入，酒店集团将拓展中端及中高端酒店作为近年来酒店结构转型的重点，推动酒店行业的结构化升级。（3）酒店经营管理加快向绿色低碳转型。随着全球范围内对环境、社会和治理问题的关注日益增加，国内外酒店业也开始积极探索和实践ESG战略。（4）酒店行业正在加速推进数字化转型、智能化服务、客户体验，并成为五星级酒店吸引高端客户的重要竞争力。随着行业竞争加剧，提升品牌核心竞争力是第一要务。感谢您对公司的关注！</w:t>
            </w:r>
          </w:p>
          <w:p w14:paraId="05A84970">
            <w:pPr>
              <w:spacing w:line="276" w:lineRule="auto"/>
              <w:rPr>
                <w:rFonts w:hint="default" w:ascii="Times New Roman" w:hAnsi="Times New Roman" w:cs="Times New Roman"/>
                <w:bCs/>
                <w:iCs/>
                <w:szCs w:val="21"/>
              </w:rPr>
            </w:pPr>
          </w:p>
          <w:p w14:paraId="0550296B">
            <w:pPr>
              <w:pStyle w:val="11"/>
              <w:numPr>
                <w:ilvl w:val="0"/>
                <w:numId w:val="1"/>
              </w:numPr>
              <w:spacing w:line="276" w:lineRule="auto"/>
              <w:ind w:firstLineChars="0"/>
              <w:rPr>
                <w:rFonts w:hint="default" w:ascii="Times New Roman" w:hAnsi="Times New Roman" w:cs="Times New Roman"/>
                <w:bCs/>
                <w:iCs/>
                <w:szCs w:val="21"/>
                <w:lang w:val="en-US" w:eastAsia="zh-CN"/>
              </w:rPr>
            </w:pPr>
            <w:r>
              <w:rPr>
                <w:rFonts w:hint="eastAsia" w:ascii="Times New Roman" w:hAnsi="Times New Roman" w:cs="Times New Roman"/>
                <w:bCs/>
                <w:iCs/>
                <w:szCs w:val="21"/>
                <w:lang w:val="en-US" w:eastAsia="zh-CN"/>
              </w:rPr>
              <w:t>预征集问答</w:t>
            </w:r>
          </w:p>
          <w:p w14:paraId="10AEF60D">
            <w:pPr>
              <w:spacing w:line="276" w:lineRule="auto"/>
              <w:ind w:firstLine="422" w:firstLineChars="200"/>
              <w:rPr>
                <w:rFonts w:hint="eastAsia" w:ascii="Times New Roman" w:hAnsi="Times New Roman" w:cs="Times New Roman" w:eastAsiaTheme="minorEastAsia"/>
                <w:b/>
                <w:bCs w:val="0"/>
                <w:iCs/>
                <w:szCs w:val="21"/>
                <w:lang w:eastAsia="zh-CN"/>
              </w:rPr>
            </w:pPr>
            <w:r>
              <w:rPr>
                <w:rFonts w:hint="eastAsia" w:ascii="Times New Roman" w:hAnsi="Times New Roman" w:cs="Times New Roman"/>
                <w:b/>
                <w:bCs w:val="0"/>
                <w:iCs/>
                <w:szCs w:val="21"/>
                <w:lang w:val="en-US" w:eastAsia="zh-CN"/>
              </w:rPr>
              <w:t>7</w:t>
            </w:r>
            <w:r>
              <w:rPr>
                <w:rFonts w:hint="default" w:ascii="Times New Roman" w:hAnsi="Times New Roman" w:cs="Times New Roman"/>
                <w:b/>
                <w:bCs w:val="0"/>
                <w:iCs/>
                <w:szCs w:val="21"/>
              </w:rPr>
              <w:t>、问</w:t>
            </w:r>
            <w:r>
              <w:rPr>
                <w:rFonts w:hint="eastAsia" w:ascii="Times New Roman" w:hAnsi="Times New Roman" w:cs="Times New Roman"/>
                <w:b/>
                <w:bCs w:val="0"/>
                <w:iCs/>
                <w:szCs w:val="21"/>
                <w:lang w:eastAsia="zh-CN"/>
              </w:rPr>
              <w:t>：金陵食品2024年营收同比增长40.91%但亏损142万元，公司称其为‘新增长极’。请问该业务何时能实现盈利？若长期无法扭亏，是否会考虑调整战略或剥离资产以集中资源发展主业？</w:t>
            </w:r>
          </w:p>
          <w:p w14:paraId="2896556B">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rPr>
            </w:pPr>
            <w:r>
              <w:rPr>
                <w:rFonts w:hint="default" w:ascii="Times New Roman" w:hAnsi="Times New Roman" w:cs="Times New Roman"/>
                <w:bCs/>
                <w:iCs/>
                <w:szCs w:val="21"/>
              </w:rPr>
              <w:t>答：尊敬的投资者您好！根据公司最新发布的2024年年度报告，全资子公司金陵食品科技有限公司2024年营收8106万元，比上年增长101%；利润总额309万元，已实现扭亏为盈。</w:t>
            </w:r>
          </w:p>
          <w:p w14:paraId="29A7F95B">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rPr>
            </w:pPr>
            <w:r>
              <w:rPr>
                <w:rFonts w:hint="default" w:ascii="Times New Roman" w:hAnsi="Times New Roman" w:cs="Times New Roman"/>
                <w:bCs/>
                <w:iCs/>
                <w:szCs w:val="21"/>
              </w:rPr>
              <w:t>未来公司会进一步加大对食品科技板块这一战略性新兴产业的投资布局：一是持续强化品牌建设，依托金陵饭店品牌底蕴，加大研发投入，丰富金陵食品产品矩阵；二是全力拓宽销售渠道，深化与商超、电商平台合作，构建全场景零售网络，提升终端覆盖率与市场渗透率；三是着手提升供应链整合能力，围绕核心拳头产品，加快打造自主可控的技术研发中心以及供应链工厂基地，夯实产能保障与成本优化基础。感谢您对公司的关注！</w:t>
            </w:r>
          </w:p>
          <w:p w14:paraId="7D458E43">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rPr>
            </w:pPr>
          </w:p>
          <w:p w14:paraId="3BC3F1AB">
            <w:pPr>
              <w:spacing w:line="276" w:lineRule="auto"/>
              <w:ind w:firstLine="422" w:firstLineChars="200"/>
              <w:rPr>
                <w:rFonts w:hint="eastAsia" w:ascii="Times New Roman" w:hAnsi="Times New Roman" w:cs="Times New Roman" w:eastAsiaTheme="minorEastAsia"/>
                <w:b/>
                <w:bCs w:val="0"/>
                <w:iCs/>
                <w:szCs w:val="21"/>
                <w:lang w:eastAsia="zh-CN"/>
              </w:rPr>
            </w:pPr>
            <w:r>
              <w:rPr>
                <w:rFonts w:hint="eastAsia" w:ascii="Times New Roman" w:hAnsi="Times New Roman" w:cs="Times New Roman"/>
                <w:b/>
                <w:bCs w:val="0"/>
                <w:iCs/>
                <w:szCs w:val="21"/>
                <w:lang w:val="en-US" w:eastAsia="zh-CN"/>
              </w:rPr>
              <w:t>8</w:t>
            </w:r>
            <w:r>
              <w:rPr>
                <w:rFonts w:hint="default" w:ascii="Times New Roman" w:hAnsi="Times New Roman" w:cs="Times New Roman"/>
                <w:b/>
                <w:bCs w:val="0"/>
                <w:iCs/>
                <w:szCs w:val="21"/>
              </w:rPr>
              <w:t>、问</w:t>
            </w:r>
            <w:r>
              <w:rPr>
                <w:rFonts w:hint="eastAsia" w:ascii="Times New Roman" w:hAnsi="Times New Roman" w:cs="Times New Roman"/>
                <w:b/>
                <w:bCs w:val="0"/>
                <w:iCs/>
                <w:szCs w:val="21"/>
                <w:lang w:eastAsia="zh-CN"/>
              </w:rPr>
              <w:t>：2024年经营活动现金流净额同比减少58.52%，应收账款占归母净利润比例达202.77%。请问公司近期是否加强了应收账款管理？未来是否会调整销售政策（如缩短账期）或优化供应链以缓解现金流压力？</w:t>
            </w:r>
          </w:p>
          <w:p w14:paraId="2A7EDC0F">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lang w:val="en-US" w:eastAsia="zh-CN"/>
              </w:rPr>
            </w:pPr>
            <w:r>
              <w:rPr>
                <w:rFonts w:hint="default" w:ascii="Times New Roman" w:hAnsi="Times New Roman" w:cs="Times New Roman"/>
                <w:bCs/>
                <w:iCs/>
                <w:szCs w:val="21"/>
              </w:rPr>
              <w:t>答：尊敬的投资者您好！2024年末经营活动现金净额减少主要是因苏糖公司春节备货而形成的时点影响，并不影响公司整体经营状况。公司2024年末应收账款金额为6744万元，占营业收入的3.61%。在应收账款管理方面，公司持续优化应收账款账期跟踪机制，已建立了完善的客户信用评估体系，通过优化合同条款、实施动态账龄分析、制定合理的收账政策等措施，确保了资金回笼的及时性和安全性。未来，公司将进一步推进各项精细化管理措施提升，如加强数字化科技创新、优化产品渠道结构、加快库存周转等。感谢您对公司的关注！</w:t>
            </w:r>
          </w:p>
          <w:p w14:paraId="64D5FC18">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lang w:val="en-US" w:eastAsia="zh-CN"/>
              </w:rPr>
            </w:pPr>
          </w:p>
          <w:p w14:paraId="39C66A6C">
            <w:pPr>
              <w:spacing w:line="276" w:lineRule="auto"/>
              <w:ind w:firstLine="422" w:firstLineChars="200"/>
              <w:rPr>
                <w:rFonts w:hint="eastAsia" w:ascii="Times New Roman" w:hAnsi="Times New Roman" w:cs="Times New Roman" w:eastAsiaTheme="minorEastAsia"/>
                <w:b/>
                <w:bCs w:val="0"/>
                <w:iCs/>
                <w:szCs w:val="21"/>
                <w:lang w:eastAsia="zh-CN"/>
              </w:rPr>
            </w:pPr>
            <w:r>
              <w:rPr>
                <w:rFonts w:hint="eastAsia" w:ascii="Times New Roman" w:hAnsi="Times New Roman" w:cs="Times New Roman"/>
                <w:b/>
                <w:bCs w:val="0"/>
                <w:iCs/>
                <w:szCs w:val="21"/>
                <w:lang w:val="en-US" w:eastAsia="zh-CN"/>
              </w:rPr>
              <w:t>9</w:t>
            </w:r>
            <w:r>
              <w:rPr>
                <w:rFonts w:hint="default" w:ascii="Times New Roman" w:hAnsi="Times New Roman" w:cs="Times New Roman"/>
                <w:b/>
                <w:bCs w:val="0"/>
                <w:iCs/>
                <w:szCs w:val="21"/>
              </w:rPr>
              <w:t>、问</w:t>
            </w:r>
            <w:r>
              <w:rPr>
                <w:rFonts w:hint="eastAsia" w:ascii="Times New Roman" w:hAnsi="Times New Roman" w:cs="Times New Roman"/>
                <w:b/>
                <w:bCs w:val="0"/>
                <w:iCs/>
                <w:szCs w:val="21"/>
                <w:lang w:eastAsia="zh-CN"/>
              </w:rPr>
              <w:t>：公司2024年净利润大幅下滑，财报中提到北京金陵饭店提前终止经营导致净利润减少1600万元。请问这一事件是否为业绩下滑的主因？未来是否会继续关闭其他低效门店以优化资源配置？公司在区域扩张策略上是否会因此调整？</w:t>
            </w:r>
          </w:p>
          <w:p w14:paraId="3E89C162">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rPr>
            </w:pPr>
            <w:r>
              <w:rPr>
                <w:rFonts w:hint="default" w:ascii="Times New Roman" w:hAnsi="Times New Roman" w:cs="Times New Roman"/>
                <w:bCs/>
                <w:iCs/>
                <w:szCs w:val="21"/>
              </w:rPr>
              <w:t>答：尊敬的投资者您好！2024年，公司实现营业总收入18.70亿元，同比增长1.95%；实现归属母公司所有者的净利润3,325.89万元，同比下降45.77%，实现扣非归母净利润3,087.66万元，同比下降6.36%。净利润减少的主要原因：南京金陵饭店与新金陵公司受到房产税、土地使用税减免政策取消的影响；苏糖公司受酒类消费增长乏力及名酒出厂价上调等因素影响；北京金陵饭店项目提前终止经营产生的影响。</w:t>
            </w:r>
          </w:p>
          <w:p w14:paraId="12FDCED1">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lang w:val="en-US" w:eastAsia="zh-CN"/>
              </w:rPr>
            </w:pPr>
            <w:r>
              <w:rPr>
                <w:rFonts w:hint="default" w:ascii="Times New Roman" w:hAnsi="Times New Roman" w:cs="Times New Roman"/>
                <w:bCs/>
                <w:iCs/>
                <w:szCs w:val="21"/>
              </w:rPr>
              <w:t>公司未来将坚持“质效优先”原则：首先，加强项目开发前的综合评估，考虑区域经济、市场需求等因素；其次，利用“品牌旗舰店+样板店”模式在主要城市中心建立标杆，增强品牌抗风险能力；第三，推进“焕新计划”，实现硬件升级、服务创新和绿色低碳理念；最后，利用数智化平台优化运营，提高连锁体系对市场变化的快速反应。感谢您对公司的关注！</w:t>
            </w:r>
          </w:p>
          <w:p w14:paraId="516CF4CA">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Cs/>
                <w:iCs/>
                <w:szCs w:val="21"/>
                <w:lang w:val="en-US" w:eastAsia="zh-CN"/>
              </w:rPr>
            </w:pPr>
          </w:p>
          <w:p w14:paraId="6C31B199">
            <w:pPr>
              <w:spacing w:line="276" w:lineRule="auto"/>
              <w:ind w:firstLine="422" w:firstLineChars="200"/>
              <w:rPr>
                <w:rFonts w:hint="eastAsia" w:ascii="Times New Roman" w:hAnsi="Times New Roman" w:cs="Times New Roman" w:eastAsiaTheme="minorEastAsia"/>
                <w:b/>
                <w:bCs w:val="0"/>
                <w:iCs/>
                <w:szCs w:val="21"/>
                <w:lang w:eastAsia="zh-CN"/>
              </w:rPr>
            </w:pPr>
            <w:r>
              <w:rPr>
                <w:rFonts w:hint="eastAsia" w:ascii="Times New Roman" w:hAnsi="Times New Roman" w:cs="Times New Roman"/>
                <w:b/>
                <w:bCs w:val="0"/>
                <w:iCs/>
                <w:szCs w:val="21"/>
                <w:lang w:val="en-US" w:eastAsia="zh-CN"/>
              </w:rPr>
              <w:t>10</w:t>
            </w:r>
            <w:r>
              <w:rPr>
                <w:rFonts w:hint="default" w:ascii="Times New Roman" w:hAnsi="Times New Roman" w:cs="Times New Roman"/>
                <w:b/>
                <w:bCs w:val="0"/>
                <w:iCs/>
                <w:szCs w:val="21"/>
              </w:rPr>
              <w:t>、问</w:t>
            </w:r>
            <w:r>
              <w:rPr>
                <w:rFonts w:hint="eastAsia" w:ascii="Times New Roman" w:hAnsi="Times New Roman" w:cs="Times New Roman"/>
                <w:b/>
                <w:bCs w:val="0"/>
                <w:iCs/>
                <w:szCs w:val="21"/>
                <w:lang w:eastAsia="zh-CN"/>
              </w:rPr>
              <w:t>：北京金陵饭店终止经营后，公司华北市场布局是否调整？未来扩张策略有何变化？</w:t>
            </w:r>
          </w:p>
          <w:p w14:paraId="582A5FC9">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rPr>
            </w:pPr>
            <w:r>
              <w:rPr>
                <w:rFonts w:hint="default" w:ascii="Times New Roman" w:hAnsi="Times New Roman" w:cs="Times New Roman"/>
                <w:bCs/>
                <w:iCs/>
                <w:szCs w:val="21"/>
              </w:rPr>
              <w:t>答：尊敬的投资者您好！北京金陵饭店租赁项目属于公司日常经营事项，提前终止经营，是基于公司对该项目未来经营产效的综合研判与预测，旨在优化公司资源配置，有效降低经营风险，提升运营质效，不会影响金陵全国化连锁布局的战略方向。2024年新增签约的26家高中端酒店项目主要覆盖新疆、河南、安徽、重庆、江苏、浙江等区域。</w:t>
            </w:r>
          </w:p>
          <w:p w14:paraId="2E0DD007">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lang w:val="en-US" w:eastAsia="zh-CN"/>
              </w:rPr>
            </w:pPr>
            <w:r>
              <w:rPr>
                <w:rFonts w:hint="default" w:ascii="Times New Roman" w:hAnsi="Times New Roman" w:cs="Times New Roman"/>
                <w:bCs/>
                <w:iCs/>
                <w:szCs w:val="21"/>
              </w:rPr>
              <w:t>公司将坚持以全国化战略布局作为攻坚方向，立足苏皖地区，深耕长三角、重点开拓国内发达城市和省会旅游城市，通过自营、联营、委托管理、特许经营等多种方式优化连锁酒店拓展模式，持续扩大金陵连锁酒店的市场影响力。感谢您对公司的关注！</w:t>
            </w:r>
          </w:p>
          <w:p w14:paraId="7CBF542E">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lang w:val="en-US" w:eastAsia="zh-CN"/>
              </w:rPr>
            </w:pPr>
          </w:p>
          <w:p w14:paraId="5DF902D4">
            <w:pPr>
              <w:spacing w:line="276" w:lineRule="auto"/>
              <w:ind w:firstLine="422" w:firstLineChars="200"/>
              <w:rPr>
                <w:rFonts w:hint="eastAsia" w:ascii="Times New Roman" w:hAnsi="Times New Roman" w:cs="Times New Roman" w:eastAsiaTheme="minorEastAsia"/>
                <w:b/>
                <w:bCs w:val="0"/>
                <w:iCs/>
                <w:szCs w:val="21"/>
                <w:lang w:eastAsia="zh-CN"/>
              </w:rPr>
            </w:pPr>
            <w:r>
              <w:rPr>
                <w:rFonts w:hint="eastAsia" w:ascii="Times New Roman" w:hAnsi="Times New Roman" w:cs="Times New Roman"/>
                <w:b/>
                <w:bCs w:val="0"/>
                <w:iCs/>
                <w:szCs w:val="21"/>
                <w:lang w:val="en-US" w:eastAsia="zh-CN"/>
              </w:rPr>
              <w:t>11</w:t>
            </w:r>
            <w:r>
              <w:rPr>
                <w:rFonts w:hint="default" w:ascii="Times New Roman" w:hAnsi="Times New Roman" w:cs="Times New Roman"/>
                <w:b/>
                <w:bCs w:val="0"/>
                <w:iCs/>
                <w:szCs w:val="21"/>
              </w:rPr>
              <w:t>、问</w:t>
            </w:r>
            <w:r>
              <w:rPr>
                <w:rFonts w:hint="eastAsia" w:ascii="Times New Roman" w:hAnsi="Times New Roman" w:cs="Times New Roman"/>
                <w:b/>
                <w:bCs w:val="0"/>
                <w:iCs/>
                <w:szCs w:val="21"/>
                <w:lang w:eastAsia="zh-CN"/>
              </w:rPr>
              <w:t>：酒店业务营收占比持续下滑（2024年仅28.6%），公司是否过度依赖商品贸易等副业？未来如何平衡主业与多元化发展？</w:t>
            </w:r>
          </w:p>
          <w:p w14:paraId="6775E957">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rPr>
            </w:pPr>
            <w:r>
              <w:rPr>
                <w:rFonts w:hint="default" w:ascii="Times New Roman" w:hAnsi="Times New Roman" w:cs="Times New Roman"/>
                <w:bCs/>
                <w:iCs/>
                <w:szCs w:val="21"/>
              </w:rPr>
              <w:t>答：尊敬的投资者您好！尽管商品贸易收入占据较大比重，但必须全面考量包括商品贸易业务的利润贡献度、发展稳定性以及与公司主营业务的协同效应等多重因素。在2024年，我国酒类消费市场遭遇了宏观经济周期波动与行业结构性调整的双重挑战，市场整体处于阶段性调整期。</w:t>
            </w:r>
          </w:p>
          <w:p w14:paraId="25E00714">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rPr>
            </w:pPr>
            <w:r>
              <w:rPr>
                <w:rFonts w:hint="default" w:ascii="Times New Roman" w:hAnsi="Times New Roman" w:cs="Times New Roman"/>
                <w:bCs/>
                <w:iCs/>
                <w:szCs w:val="21"/>
              </w:rPr>
              <w:t>从发展战略看，公司始终以酒店主业为核心，明确提出以“品牌化、数字化、资本化”为引擎，通过多品牌多模式体系和数智化创新平台，打造具有国际影响力的民族酒店品牌。同时，公司通过延伸酒店产业链布局，将“金陵”品牌扩展至物业管理、食品科技等领域，旨在形成主业与协同业务互补融合的发展格局。</w:t>
            </w:r>
          </w:p>
          <w:p w14:paraId="30968FA7">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lang w:val="en-US" w:eastAsia="zh-CN"/>
              </w:rPr>
            </w:pPr>
            <w:r>
              <w:rPr>
                <w:rFonts w:hint="default" w:ascii="Times New Roman" w:hAnsi="Times New Roman" w:cs="Times New Roman"/>
                <w:bCs/>
                <w:iCs/>
                <w:szCs w:val="21"/>
              </w:rPr>
              <w:t>未来平衡发展的核心路径包括：其一，酒店主业将持续推进连锁化布局，强化品牌标准和数智化运营，借助政策支持的文化旅游消费升级机遇提升盈利能力；其二，战略性新兴产业（如食品科技）将围绕标准化生产、产品创新和规模运营，打造新的增长空间；其三，通过深化改革优化资源配置，巩固酒店核心竞争力，同时推动协同业务提升整体抗风险能力和资产运营质效，促进高质量发展。感谢您对公司的关注！</w:t>
            </w:r>
          </w:p>
          <w:p w14:paraId="4551FE1F">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Cs/>
                <w:iCs/>
                <w:szCs w:val="21"/>
                <w:lang w:val="en-US" w:eastAsia="zh-CN"/>
              </w:rPr>
            </w:pPr>
          </w:p>
          <w:p w14:paraId="1F1DFC77">
            <w:pPr>
              <w:pStyle w:val="11"/>
              <w:numPr>
                <w:ilvl w:val="0"/>
                <w:numId w:val="1"/>
              </w:numPr>
              <w:spacing w:line="276" w:lineRule="auto"/>
              <w:ind w:firstLineChars="0"/>
              <w:rPr>
                <w:rFonts w:hint="default" w:ascii="Times New Roman" w:hAnsi="Times New Roman" w:cs="Times New Roman"/>
                <w:iCs/>
                <w:szCs w:val="21"/>
              </w:rPr>
            </w:pPr>
            <w:r>
              <w:rPr>
                <w:rFonts w:hint="default" w:ascii="Times New Roman" w:hAnsi="Times New Roman" w:cs="Times New Roman" w:eastAsiaTheme="minorEastAsia"/>
                <w:bCs/>
                <w:iCs/>
                <w:kern w:val="2"/>
                <w:sz w:val="21"/>
                <w:szCs w:val="21"/>
                <w:lang w:val="en-US" w:eastAsia="zh-CN" w:bidi="ar-SA"/>
              </w:rPr>
              <w:t>公司董事、总经理张胜新先生宣布活动结束。</w:t>
            </w:r>
          </w:p>
        </w:tc>
      </w:tr>
      <w:tr w14:paraId="016BF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2037" w:type="dxa"/>
            <w:vAlign w:val="center"/>
          </w:tcPr>
          <w:p w14:paraId="46FE48EF">
            <w:pPr>
              <w:ind w:right="315"/>
              <w:jc w:val="center"/>
              <w:rPr>
                <w:rFonts w:asciiTheme="minorEastAsia" w:hAnsiTheme="minorEastAsia"/>
                <w:b/>
                <w:sz w:val="24"/>
                <w:szCs w:val="21"/>
              </w:rPr>
            </w:pPr>
            <w:r>
              <w:rPr>
                <w:rFonts w:hint="eastAsia" w:asciiTheme="minorEastAsia" w:hAnsiTheme="minorEastAsia"/>
                <w:b/>
                <w:sz w:val="24"/>
                <w:szCs w:val="21"/>
              </w:rPr>
              <w:t>附件清单（如有）</w:t>
            </w:r>
          </w:p>
        </w:tc>
        <w:tc>
          <w:tcPr>
            <w:tcW w:w="6952" w:type="dxa"/>
            <w:vAlign w:val="center"/>
          </w:tcPr>
          <w:p w14:paraId="2C8EF77B">
            <w:pPr>
              <w:ind w:right="315"/>
              <w:jc w:val="center"/>
              <w:rPr>
                <w:rFonts w:asciiTheme="minorEastAsia" w:hAnsiTheme="minorEastAsia"/>
                <w:szCs w:val="21"/>
              </w:rPr>
            </w:pPr>
            <w:r>
              <w:rPr>
                <w:rFonts w:asciiTheme="minorEastAsia" w:hAnsiTheme="minorEastAsia"/>
                <w:szCs w:val="21"/>
              </w:rPr>
              <w:t>无</w:t>
            </w:r>
          </w:p>
        </w:tc>
      </w:tr>
    </w:tbl>
    <w:p w14:paraId="4AB500FC">
      <w:pPr>
        <w:ind w:right="1435"/>
        <w:rPr>
          <w:rFonts w:asciiTheme="majorEastAsia" w:hAnsiTheme="majorEastAsia" w:eastAsiaTheme="majorEastAsia"/>
          <w:vanish/>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8755C"/>
    <w:multiLevelType w:val="multilevel"/>
    <w:tmpl w:val="18C8755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2Y0MjhkMDA0OTAzMjVmNmQ0ZDI1YzNiZGY3YzQifQ=="/>
  </w:docVars>
  <w:rsids>
    <w:rsidRoot w:val="00AD0253"/>
    <w:rsid w:val="000B27C1"/>
    <w:rsid w:val="000C51D0"/>
    <w:rsid w:val="000F23C9"/>
    <w:rsid w:val="000F5EB6"/>
    <w:rsid w:val="00105951"/>
    <w:rsid w:val="001724AD"/>
    <w:rsid w:val="001C0147"/>
    <w:rsid w:val="001E56FD"/>
    <w:rsid w:val="0020504C"/>
    <w:rsid w:val="00284B84"/>
    <w:rsid w:val="00292687"/>
    <w:rsid w:val="002932E0"/>
    <w:rsid w:val="002D29FE"/>
    <w:rsid w:val="002E66DC"/>
    <w:rsid w:val="00310FEA"/>
    <w:rsid w:val="00320904"/>
    <w:rsid w:val="003351C1"/>
    <w:rsid w:val="00351F02"/>
    <w:rsid w:val="00366045"/>
    <w:rsid w:val="00370108"/>
    <w:rsid w:val="003A14B2"/>
    <w:rsid w:val="003A3C4F"/>
    <w:rsid w:val="003A707A"/>
    <w:rsid w:val="003B0F8C"/>
    <w:rsid w:val="003D3B62"/>
    <w:rsid w:val="003E3E7C"/>
    <w:rsid w:val="003F747A"/>
    <w:rsid w:val="00442C8C"/>
    <w:rsid w:val="0044749B"/>
    <w:rsid w:val="00452D73"/>
    <w:rsid w:val="00491A7D"/>
    <w:rsid w:val="00493CEC"/>
    <w:rsid w:val="004A140C"/>
    <w:rsid w:val="004B0343"/>
    <w:rsid w:val="004B5518"/>
    <w:rsid w:val="004F129B"/>
    <w:rsid w:val="005233F4"/>
    <w:rsid w:val="00546B6A"/>
    <w:rsid w:val="00555615"/>
    <w:rsid w:val="005621A4"/>
    <w:rsid w:val="005D2A4C"/>
    <w:rsid w:val="0064025B"/>
    <w:rsid w:val="006C77E3"/>
    <w:rsid w:val="006D3FA9"/>
    <w:rsid w:val="00701CB8"/>
    <w:rsid w:val="007113A6"/>
    <w:rsid w:val="007677F1"/>
    <w:rsid w:val="007B1E44"/>
    <w:rsid w:val="00832CD7"/>
    <w:rsid w:val="008B4D1F"/>
    <w:rsid w:val="008F2C96"/>
    <w:rsid w:val="00934538"/>
    <w:rsid w:val="00985AAD"/>
    <w:rsid w:val="009A593A"/>
    <w:rsid w:val="009C0BF9"/>
    <w:rsid w:val="009E7F6E"/>
    <w:rsid w:val="00A204E8"/>
    <w:rsid w:val="00A36DB9"/>
    <w:rsid w:val="00A42D8F"/>
    <w:rsid w:val="00AA7C38"/>
    <w:rsid w:val="00AD0253"/>
    <w:rsid w:val="00B43451"/>
    <w:rsid w:val="00B46403"/>
    <w:rsid w:val="00B50DDF"/>
    <w:rsid w:val="00BA799B"/>
    <w:rsid w:val="00BB7261"/>
    <w:rsid w:val="00C0293C"/>
    <w:rsid w:val="00C03B6D"/>
    <w:rsid w:val="00C27A75"/>
    <w:rsid w:val="00C36984"/>
    <w:rsid w:val="00C40677"/>
    <w:rsid w:val="00C449C9"/>
    <w:rsid w:val="00C56135"/>
    <w:rsid w:val="00CC7B93"/>
    <w:rsid w:val="00CE0C73"/>
    <w:rsid w:val="00CF4B44"/>
    <w:rsid w:val="00D16622"/>
    <w:rsid w:val="00D30FCD"/>
    <w:rsid w:val="00D65565"/>
    <w:rsid w:val="00D808D1"/>
    <w:rsid w:val="00D872A1"/>
    <w:rsid w:val="00D90BCD"/>
    <w:rsid w:val="00DB1630"/>
    <w:rsid w:val="00DD6467"/>
    <w:rsid w:val="00DF1D55"/>
    <w:rsid w:val="00E1031B"/>
    <w:rsid w:val="00E35333"/>
    <w:rsid w:val="00E82D4C"/>
    <w:rsid w:val="00EB1FF2"/>
    <w:rsid w:val="00F1499F"/>
    <w:rsid w:val="00F20811"/>
    <w:rsid w:val="00F2362C"/>
    <w:rsid w:val="00F24444"/>
    <w:rsid w:val="00F46B99"/>
    <w:rsid w:val="00F97911"/>
    <w:rsid w:val="00FD33B6"/>
    <w:rsid w:val="00FD7B34"/>
    <w:rsid w:val="00FE0EDE"/>
    <w:rsid w:val="00FF67C4"/>
    <w:rsid w:val="09886B94"/>
    <w:rsid w:val="11231CC8"/>
    <w:rsid w:val="153138B9"/>
    <w:rsid w:val="19FA7518"/>
    <w:rsid w:val="1B0E736E"/>
    <w:rsid w:val="1BE75F2E"/>
    <w:rsid w:val="20822032"/>
    <w:rsid w:val="24977530"/>
    <w:rsid w:val="32756978"/>
    <w:rsid w:val="54BE1794"/>
    <w:rsid w:val="556E7FB9"/>
    <w:rsid w:val="5FD252EC"/>
    <w:rsid w:val="6131163C"/>
    <w:rsid w:val="69754024"/>
    <w:rsid w:val="7EB35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qFormat/>
    <w:uiPriority w:val="99"/>
    <w:rPr>
      <w:sz w:val="18"/>
      <w:szCs w:val="18"/>
    </w:rPr>
  </w:style>
  <w:style w:type="character" w:customStyle="1" w:styleId="10">
    <w:name w:val="页脚 Char"/>
    <w:basedOn w:val="8"/>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5071</Words>
  <Characters>5375</Characters>
  <Lines>11</Lines>
  <Paragraphs>3</Paragraphs>
  <TotalTime>1</TotalTime>
  <ScaleCrop>false</ScaleCrop>
  <LinksUpToDate>false</LinksUpToDate>
  <CharactersWithSpaces>5453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2023-09-20T09:58:00Z</dcterms:created>
  <dc:creator>ZQB-ZL</dc:creator>
  <cp:lastModifiedBy>燕子</cp:lastModifiedBy>
  <cp:lastPrinted>2025-06-06T06:47:00Z</cp:lastPrinted>
  <dcterms:modified xsi:type="dcterms:W3CDTF">2025-06-06T08:15:38Z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A9D684C6EAAA4FB8AC4904AA6983C660_13</vt:lpwstr>
  </property>
  <property fmtid="{D5CDD505-2E9C-101B-9397-08002B2CF9AE}" pid="4" name="KSOTemplateDocerSaveRecord">
    <vt:lpwstr>eyJoZGlkIjoiMjVjY2Y0MjhkMDA0OTAzMjVmNmQ0ZDI1YzNiZGY3YzQiLCJ1c2VySWQiOiI2MDYxMzUxNDkifQ==</vt:lpwstr>
  </property>
</Properties>
</file>