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A53C6">
      <w:pPr>
        <w:spacing w:after="156" w:afterLines="50" w:line="400" w:lineRule="exact"/>
        <w:jc w:val="center"/>
        <w:rPr>
          <w:rFonts w:ascii="宋体" w:hAnsi="宋体"/>
          <w:bCs/>
          <w:iCs/>
          <w:color w:val="000000"/>
          <w:sz w:val="24"/>
        </w:rPr>
      </w:pPr>
      <w:r>
        <w:rPr>
          <w:rFonts w:hint="eastAsia" w:ascii="宋体" w:hAnsi="宋体"/>
          <w:bCs/>
          <w:iCs/>
          <w:color w:val="000000"/>
          <w:sz w:val="24"/>
        </w:rPr>
        <w:t xml:space="preserve">证券代码： </w:t>
      </w:r>
      <w:r>
        <w:rPr>
          <w:bCs/>
          <w:iCs/>
          <w:color w:val="000000"/>
          <w:sz w:val="24"/>
        </w:rPr>
        <w:t>688277</w:t>
      </w:r>
      <w:r>
        <w:rPr>
          <w:rFonts w:hint="eastAsia" w:ascii="宋体" w:hAnsi="宋体"/>
          <w:bCs/>
          <w:iCs/>
          <w:color w:val="000000"/>
          <w:sz w:val="24"/>
        </w:rPr>
        <w:t xml:space="preserve">        </w:t>
      </w:r>
      <w:r>
        <w:rPr>
          <w:rFonts w:ascii="宋体" w:hAnsi="宋体"/>
          <w:bCs/>
          <w:iCs/>
          <w:color w:val="000000"/>
          <w:sz w:val="24"/>
        </w:rPr>
        <w:t xml:space="preserve">   </w:t>
      </w:r>
      <w:r>
        <w:rPr>
          <w:rFonts w:hint="eastAsia" w:ascii="宋体" w:hAnsi="宋体"/>
          <w:bCs/>
          <w:iCs/>
          <w:color w:val="000000"/>
          <w:sz w:val="24"/>
        </w:rPr>
        <w:t xml:space="preserve">     </w:t>
      </w:r>
      <w:r>
        <w:rPr>
          <w:rFonts w:ascii="宋体" w:hAnsi="宋体"/>
          <w:bCs/>
          <w:iCs/>
          <w:color w:val="000000"/>
          <w:sz w:val="24"/>
        </w:rPr>
        <w:t xml:space="preserve">          </w:t>
      </w:r>
      <w:r>
        <w:rPr>
          <w:rFonts w:hint="eastAsia" w:ascii="宋体" w:hAnsi="宋体"/>
          <w:bCs/>
          <w:iCs/>
          <w:color w:val="000000"/>
          <w:sz w:val="24"/>
        </w:rPr>
        <w:t xml:space="preserve">        证券简称：天智航 </w:t>
      </w:r>
    </w:p>
    <w:p w14:paraId="427217A7">
      <w:pPr>
        <w:spacing w:before="624" w:beforeLines="200" w:after="156" w:afterLines="50" w:line="400" w:lineRule="exact"/>
        <w:jc w:val="center"/>
        <w:rPr>
          <w:rFonts w:ascii="宋体" w:hAnsi="宋体"/>
          <w:b/>
          <w:bCs/>
          <w:iCs/>
          <w:color w:val="000000"/>
          <w:sz w:val="32"/>
          <w:szCs w:val="32"/>
        </w:rPr>
      </w:pPr>
      <w:r>
        <w:rPr>
          <w:rFonts w:hint="eastAsia" w:ascii="宋体" w:hAnsi="宋体"/>
          <w:b/>
          <w:bCs/>
          <w:iCs/>
          <w:color w:val="000000"/>
          <w:sz w:val="32"/>
          <w:szCs w:val="32"/>
        </w:rPr>
        <w:t>北京天智航医疗科技股份有限公司</w:t>
      </w:r>
    </w:p>
    <w:p w14:paraId="7C1313D2">
      <w:pPr>
        <w:spacing w:before="156" w:beforeLines="50" w:after="312" w:afterLines="100" w:line="400" w:lineRule="exact"/>
        <w:jc w:val="center"/>
        <w:rPr>
          <w:rFonts w:ascii="宋体" w:hAnsi="宋体"/>
          <w:b/>
          <w:bCs/>
          <w:iCs/>
          <w:color w:val="000000"/>
          <w:sz w:val="32"/>
          <w:szCs w:val="32"/>
        </w:rPr>
      </w:pPr>
      <w:r>
        <w:rPr>
          <w:rFonts w:hint="eastAsia" w:ascii="宋体" w:hAnsi="宋体"/>
          <w:b/>
          <w:bCs/>
          <w:iCs/>
          <w:color w:val="000000"/>
          <w:sz w:val="32"/>
          <w:szCs w:val="32"/>
        </w:rPr>
        <w:t>投资者关系活动记录表</w:t>
      </w:r>
    </w:p>
    <w:p w14:paraId="6045F6B8">
      <w:pPr>
        <w:spacing w:line="400" w:lineRule="exact"/>
        <w:rPr>
          <w:bCs/>
          <w:iCs/>
          <w:color w:val="000000"/>
          <w:sz w:val="24"/>
        </w:rPr>
      </w:pPr>
      <w:r>
        <w:rPr>
          <w:rFonts w:hint="eastAsia" w:ascii="宋体" w:hAnsi="宋体"/>
          <w:bCs/>
          <w:iCs/>
          <w:color w:val="000000"/>
          <w:sz w:val="24"/>
        </w:rPr>
        <w:t xml:space="preserve">                                                        编号：</w:t>
      </w:r>
      <w:r>
        <w:rPr>
          <w:bCs/>
          <w:iCs/>
          <w:color w:val="000000"/>
          <w:sz w:val="24"/>
        </w:rPr>
        <w:t>2025-002</w:t>
      </w:r>
    </w:p>
    <w:tbl>
      <w:tblPr>
        <w:tblStyle w:val="8"/>
        <w:tblW w:w="8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6720"/>
      </w:tblGrid>
      <w:tr w14:paraId="10946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vAlign w:val="center"/>
          </w:tcPr>
          <w:p w14:paraId="1706E46C">
            <w:pPr>
              <w:spacing w:line="480" w:lineRule="atLeast"/>
              <w:jc w:val="center"/>
              <w:rPr>
                <w:b/>
                <w:bCs/>
                <w:iCs/>
                <w:color w:val="000000"/>
                <w:sz w:val="24"/>
              </w:rPr>
            </w:pPr>
            <w:r>
              <w:rPr>
                <w:b/>
                <w:bCs/>
                <w:iCs/>
                <w:color w:val="000000"/>
                <w:sz w:val="24"/>
              </w:rPr>
              <w:t>投资者关系活动类别</w:t>
            </w:r>
          </w:p>
        </w:tc>
        <w:tc>
          <w:tcPr>
            <w:tcW w:w="6720" w:type="dxa"/>
          </w:tcPr>
          <w:p w14:paraId="0DB87849">
            <w:pPr>
              <w:spacing w:line="480" w:lineRule="atLeast"/>
              <w:rPr>
                <w:bCs/>
                <w:iCs/>
                <w:color w:val="000000"/>
                <w:sz w:val="24"/>
              </w:rPr>
            </w:pPr>
            <w:r>
              <w:rPr>
                <w:bCs/>
                <w:iCs/>
                <w:color w:val="000000"/>
                <w:sz w:val="24"/>
              </w:rPr>
              <w:t>□特定对象调研        □分析师会议</w:t>
            </w:r>
          </w:p>
          <w:p w14:paraId="3A153F74">
            <w:pPr>
              <w:spacing w:line="480" w:lineRule="atLeast"/>
              <w:rPr>
                <w:bCs/>
                <w:iCs/>
                <w:color w:val="000000"/>
                <w:sz w:val="24"/>
              </w:rPr>
            </w:pPr>
            <w:r>
              <w:rPr>
                <w:bCs/>
                <w:iCs/>
                <w:color w:val="000000"/>
                <w:sz w:val="24"/>
              </w:rPr>
              <w:t>□媒体采访            □业绩说明会</w:t>
            </w:r>
          </w:p>
          <w:p w14:paraId="0686C423">
            <w:pPr>
              <w:spacing w:line="480" w:lineRule="atLeast"/>
              <w:rPr>
                <w:bCs/>
                <w:iCs/>
                <w:color w:val="000000"/>
                <w:sz w:val="24"/>
              </w:rPr>
            </w:pPr>
            <w:r>
              <w:rPr>
                <w:bCs/>
                <w:iCs/>
                <w:color w:val="000000"/>
                <w:sz w:val="24"/>
              </w:rPr>
              <w:t xml:space="preserve">□新闻发布会         </w:t>
            </w:r>
            <w:r>
              <w:rPr>
                <w:rFonts w:ascii="宋体" w:hAnsi="宋体"/>
                <w:bCs/>
                <w:iCs/>
                <w:color w:val="000000"/>
                <w:sz w:val="24"/>
              </w:rPr>
              <w:t xml:space="preserve"> </w:t>
            </w:r>
            <w:r>
              <w:rPr>
                <w:bCs/>
                <w:iCs/>
                <w:color w:val="000000"/>
                <w:sz w:val="24"/>
              </w:rPr>
              <w:t>□</w:t>
            </w:r>
            <w:r>
              <w:rPr>
                <w:rFonts w:ascii="宋体" w:hAnsi="宋体"/>
                <w:bCs/>
                <w:iCs/>
                <w:color w:val="000000"/>
                <w:sz w:val="24"/>
              </w:rPr>
              <w:t>路演活动</w:t>
            </w:r>
          </w:p>
          <w:p w14:paraId="06100A34">
            <w:pPr>
              <w:tabs>
                <w:tab w:val="left" w:pos="3045"/>
                <w:tab w:val="center" w:pos="3199"/>
              </w:tabs>
              <w:spacing w:line="480" w:lineRule="atLeast"/>
              <w:rPr>
                <w:b/>
                <w:iCs/>
                <w:color w:val="000000"/>
                <w:sz w:val="24"/>
              </w:rPr>
            </w:pPr>
            <w:r>
              <w:rPr>
                <w:bCs/>
                <w:iCs/>
                <w:color w:val="000000"/>
                <w:sz w:val="24"/>
              </w:rPr>
              <w:sym w:font="Wingdings 2" w:char="0052"/>
            </w:r>
            <w:r>
              <w:rPr>
                <w:iCs/>
                <w:color w:val="000000"/>
                <w:sz w:val="24"/>
              </w:rPr>
              <w:t>现场</w:t>
            </w:r>
            <w:r>
              <w:rPr>
                <w:rFonts w:hint="eastAsia"/>
                <w:iCs/>
                <w:color w:val="000000"/>
                <w:sz w:val="24"/>
              </w:rPr>
              <w:t>交流</w:t>
            </w:r>
            <w:r>
              <w:rPr>
                <w:iCs/>
                <w:color w:val="000000"/>
                <w:sz w:val="24"/>
              </w:rPr>
              <w:t xml:space="preserve"> </w:t>
            </w:r>
            <w:r>
              <w:rPr>
                <w:b/>
                <w:iCs/>
                <w:color w:val="000000"/>
                <w:sz w:val="24"/>
              </w:rPr>
              <w:t xml:space="preserve"> </w:t>
            </w:r>
            <w:r>
              <w:rPr>
                <w:bCs/>
                <w:iCs/>
                <w:color w:val="000000"/>
                <w:sz w:val="24"/>
              </w:rPr>
              <w:t xml:space="preserve">        </w:t>
            </w:r>
            <w:r>
              <w:rPr>
                <w:rFonts w:hint="eastAsia"/>
                <w:b/>
                <w:iCs/>
                <w:color w:val="000000"/>
                <w:sz w:val="24"/>
              </w:rPr>
              <w:t xml:space="preserve"> </w:t>
            </w:r>
          </w:p>
          <w:p w14:paraId="019ACE47">
            <w:pPr>
              <w:tabs>
                <w:tab w:val="left" w:pos="3045"/>
                <w:tab w:val="center" w:pos="3199"/>
              </w:tabs>
              <w:spacing w:line="480" w:lineRule="atLeast"/>
              <w:rPr>
                <w:bCs/>
                <w:iCs/>
                <w:color w:val="000000"/>
                <w:sz w:val="24"/>
              </w:rPr>
            </w:pPr>
            <w:r>
              <w:rPr>
                <w:bCs/>
                <w:iCs/>
                <w:color w:val="000000"/>
                <w:sz w:val="24"/>
              </w:rPr>
              <w:sym w:font="Wingdings 2" w:char="0052"/>
            </w:r>
            <w:r>
              <w:rPr>
                <w:bCs/>
                <w:iCs/>
                <w:color w:val="000000"/>
                <w:sz w:val="24"/>
              </w:rPr>
              <w:t>其他</w:t>
            </w:r>
            <w:r>
              <w:rPr>
                <w:rFonts w:hint="eastAsia"/>
                <w:bCs/>
                <w:iCs/>
                <w:color w:val="000000"/>
                <w:sz w:val="24"/>
              </w:rPr>
              <w:t>（在北京证监局、北京上市公司协会指导下，联合中国国际金融股份有限公司共同举办《股东来了》—投资者走进天智航活动）</w:t>
            </w:r>
          </w:p>
        </w:tc>
      </w:tr>
      <w:tr w14:paraId="4316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916" w:type="dxa"/>
            <w:vAlign w:val="center"/>
          </w:tcPr>
          <w:p w14:paraId="15E4C8C5">
            <w:pPr>
              <w:spacing w:line="480" w:lineRule="atLeast"/>
              <w:jc w:val="center"/>
              <w:rPr>
                <w:b/>
                <w:bCs/>
                <w:iCs/>
                <w:color w:val="000000"/>
                <w:sz w:val="24"/>
              </w:rPr>
            </w:pPr>
            <w:r>
              <w:rPr>
                <w:b/>
                <w:bCs/>
                <w:iCs/>
                <w:color w:val="000000"/>
                <w:sz w:val="24"/>
              </w:rPr>
              <w:t>参与单位名称</w:t>
            </w:r>
          </w:p>
        </w:tc>
        <w:tc>
          <w:tcPr>
            <w:tcW w:w="6720" w:type="dxa"/>
          </w:tcPr>
          <w:p w14:paraId="17640F54">
            <w:pPr>
              <w:spacing w:line="500" w:lineRule="exact"/>
              <w:rPr>
                <w:bCs/>
                <w:iCs/>
                <w:color w:val="000000"/>
                <w:sz w:val="24"/>
              </w:rPr>
            </w:pPr>
            <w:r>
              <w:rPr>
                <w:rFonts w:hint="eastAsia"/>
                <w:bCs/>
                <w:iCs/>
                <w:color w:val="000000"/>
                <w:sz w:val="24"/>
                <w:highlight w:val="none"/>
              </w:rPr>
              <w:t>中金公司、北京弘峰投资管理有限公司、北京青创伯乐投资公司、北京青青园中葵咨询有限公司、财达证券、长城国瑞、诚通证券、德远投资、广发证券、国投证券、华福证券、华软资本、江苏高科技产业投资、君昱资本、明澄投资、诺昌投资、上海证券、申万宏源、首创证券、万和证券、薪富阳投资、银河证券</w:t>
            </w:r>
            <w:r>
              <w:rPr>
                <w:rFonts w:hint="eastAsia"/>
                <w:bCs/>
                <w:iCs/>
                <w:strike w:val="0"/>
                <w:dstrike w:val="0"/>
                <w:color w:val="000000"/>
                <w:sz w:val="24"/>
                <w:highlight w:val="none"/>
                <w:lang w:eastAsia="zh-CN"/>
              </w:rPr>
              <w:t>、</w:t>
            </w:r>
            <w:r>
              <w:rPr>
                <w:rFonts w:hint="eastAsia"/>
                <w:bCs/>
                <w:iCs/>
                <w:color w:val="000000"/>
                <w:sz w:val="24"/>
                <w:highlight w:val="none"/>
              </w:rPr>
              <w:t>中财融商（北京）资本管理有限公司、上海证券报、证券日报等</w:t>
            </w:r>
            <w:r>
              <w:rPr>
                <w:rFonts w:hint="eastAsia"/>
                <w:bCs/>
                <w:iCs/>
                <w:color w:val="000000"/>
                <w:sz w:val="24"/>
                <w:highlight w:val="none"/>
                <w:lang w:val="en-US" w:eastAsia="zh-CN"/>
              </w:rPr>
              <w:t>5</w:t>
            </w:r>
            <w:r>
              <w:rPr>
                <w:bCs/>
                <w:iCs/>
                <w:color w:val="000000"/>
                <w:sz w:val="24"/>
                <w:highlight w:val="none"/>
              </w:rPr>
              <w:t>0</w:t>
            </w:r>
            <w:r>
              <w:rPr>
                <w:rFonts w:hint="eastAsia"/>
                <w:bCs/>
                <w:iCs/>
                <w:color w:val="000000"/>
                <w:sz w:val="24"/>
                <w:highlight w:val="none"/>
              </w:rPr>
              <w:t>余名参会人员。</w:t>
            </w:r>
          </w:p>
        </w:tc>
      </w:tr>
      <w:tr w14:paraId="6BC38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14:paraId="4FC838AC">
            <w:pPr>
              <w:spacing w:line="480" w:lineRule="atLeast"/>
              <w:jc w:val="center"/>
              <w:rPr>
                <w:b/>
                <w:bCs/>
                <w:iCs/>
                <w:color w:val="000000"/>
                <w:sz w:val="24"/>
              </w:rPr>
            </w:pPr>
            <w:r>
              <w:rPr>
                <w:b/>
                <w:bCs/>
                <w:iCs/>
                <w:color w:val="000000"/>
                <w:sz w:val="24"/>
              </w:rPr>
              <w:t>时间</w:t>
            </w:r>
          </w:p>
        </w:tc>
        <w:tc>
          <w:tcPr>
            <w:tcW w:w="6720" w:type="dxa"/>
            <w:vAlign w:val="center"/>
          </w:tcPr>
          <w:p w14:paraId="606B49C9">
            <w:pPr>
              <w:spacing w:line="360" w:lineRule="auto"/>
              <w:rPr>
                <w:bCs/>
                <w:iCs/>
                <w:color w:val="000000"/>
                <w:sz w:val="24"/>
              </w:rPr>
            </w:pPr>
            <w:r>
              <w:rPr>
                <w:bCs/>
                <w:iCs/>
                <w:color w:val="000000"/>
                <w:sz w:val="24"/>
              </w:rPr>
              <w:t>2025年6月11</w:t>
            </w:r>
            <w:r>
              <w:rPr>
                <w:rFonts w:hint="eastAsia"/>
                <w:bCs/>
                <w:iCs/>
                <w:color w:val="000000"/>
                <w:sz w:val="24"/>
              </w:rPr>
              <w:t>日</w:t>
            </w:r>
          </w:p>
        </w:tc>
      </w:tr>
      <w:tr w14:paraId="11853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16" w:type="dxa"/>
          </w:tcPr>
          <w:p w14:paraId="7890A635">
            <w:pPr>
              <w:spacing w:line="480" w:lineRule="atLeast"/>
              <w:jc w:val="center"/>
              <w:rPr>
                <w:b/>
                <w:bCs/>
                <w:iCs/>
                <w:color w:val="000000"/>
                <w:sz w:val="24"/>
              </w:rPr>
            </w:pPr>
            <w:r>
              <w:rPr>
                <w:b/>
                <w:bCs/>
                <w:iCs/>
                <w:color w:val="000000"/>
                <w:sz w:val="24"/>
              </w:rPr>
              <w:t>地点</w:t>
            </w:r>
          </w:p>
        </w:tc>
        <w:tc>
          <w:tcPr>
            <w:tcW w:w="6720" w:type="dxa"/>
            <w:vAlign w:val="center"/>
          </w:tcPr>
          <w:p w14:paraId="3489F14E">
            <w:pPr>
              <w:spacing w:line="360" w:lineRule="auto"/>
              <w:rPr>
                <w:bCs/>
                <w:iCs/>
                <w:color w:val="000000"/>
                <w:sz w:val="24"/>
              </w:rPr>
            </w:pPr>
            <w:r>
              <w:rPr>
                <w:rFonts w:hint="eastAsia"/>
                <w:bCs/>
                <w:iCs/>
                <w:color w:val="000000"/>
                <w:sz w:val="24"/>
              </w:rPr>
              <w:t>北京天智航大厦</w:t>
            </w:r>
          </w:p>
        </w:tc>
      </w:tr>
      <w:tr w14:paraId="09F8E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vAlign w:val="center"/>
          </w:tcPr>
          <w:p w14:paraId="49605E76">
            <w:pPr>
              <w:spacing w:line="480" w:lineRule="atLeast"/>
              <w:jc w:val="center"/>
              <w:rPr>
                <w:b/>
                <w:bCs/>
                <w:iCs/>
                <w:color w:val="000000"/>
                <w:sz w:val="24"/>
              </w:rPr>
            </w:pPr>
            <w:r>
              <w:rPr>
                <w:b/>
                <w:bCs/>
                <w:iCs/>
                <w:color w:val="000000"/>
                <w:sz w:val="24"/>
              </w:rPr>
              <w:t>上市公司</w:t>
            </w:r>
          </w:p>
          <w:p w14:paraId="73E53373">
            <w:pPr>
              <w:spacing w:line="480" w:lineRule="atLeast"/>
              <w:jc w:val="center"/>
              <w:rPr>
                <w:b/>
                <w:bCs/>
                <w:iCs/>
                <w:color w:val="000000"/>
                <w:sz w:val="24"/>
              </w:rPr>
            </w:pPr>
            <w:r>
              <w:rPr>
                <w:b/>
                <w:bCs/>
                <w:iCs/>
                <w:color w:val="000000"/>
                <w:sz w:val="24"/>
              </w:rPr>
              <w:t>接待人员姓名</w:t>
            </w:r>
          </w:p>
        </w:tc>
        <w:tc>
          <w:tcPr>
            <w:tcW w:w="6720" w:type="dxa"/>
            <w:vAlign w:val="center"/>
          </w:tcPr>
          <w:p w14:paraId="71E361B7">
            <w:pPr>
              <w:spacing w:line="360" w:lineRule="auto"/>
              <w:rPr>
                <w:bCs/>
                <w:iCs/>
                <w:color w:val="000000"/>
                <w:sz w:val="24"/>
              </w:rPr>
            </w:pPr>
            <w:r>
              <w:rPr>
                <w:rFonts w:hint="eastAsia"/>
                <w:bCs/>
                <w:iCs/>
                <w:color w:val="000000"/>
                <w:sz w:val="24"/>
              </w:rPr>
              <w:t>总经理徐进、总裁马敏、财务总监齐敏、</w:t>
            </w:r>
            <w:r>
              <w:rPr>
                <w:bCs/>
                <w:iCs/>
                <w:color w:val="000000"/>
                <w:sz w:val="24"/>
              </w:rPr>
              <w:t>董事会秘书黄军辉</w:t>
            </w:r>
          </w:p>
        </w:tc>
      </w:tr>
      <w:tr w14:paraId="22CB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916" w:type="dxa"/>
            <w:vAlign w:val="center"/>
          </w:tcPr>
          <w:p w14:paraId="2C93A5EB">
            <w:pPr>
              <w:spacing w:line="480" w:lineRule="atLeast"/>
              <w:rPr>
                <w:b/>
                <w:bCs/>
                <w:iCs/>
                <w:color w:val="000000"/>
                <w:sz w:val="24"/>
              </w:rPr>
            </w:pPr>
            <w:r>
              <w:rPr>
                <w:b/>
                <w:bCs/>
                <w:iCs/>
                <w:color w:val="000000"/>
                <w:sz w:val="24"/>
              </w:rPr>
              <w:t>投资者关系活动主要内容介绍</w:t>
            </w:r>
          </w:p>
          <w:p w14:paraId="2FEE8B52">
            <w:pPr>
              <w:spacing w:line="480" w:lineRule="atLeast"/>
              <w:rPr>
                <w:b/>
                <w:bCs/>
                <w:iCs/>
                <w:color w:val="000000"/>
                <w:sz w:val="24"/>
              </w:rPr>
            </w:pPr>
          </w:p>
        </w:tc>
        <w:tc>
          <w:tcPr>
            <w:tcW w:w="6720" w:type="dxa"/>
          </w:tcPr>
          <w:p w14:paraId="32DCA7E8">
            <w:pPr>
              <w:pStyle w:val="20"/>
              <w:tabs>
                <w:tab w:val="left" w:pos="312"/>
              </w:tabs>
              <w:spacing w:before="156" w:beforeLines="50" w:line="440" w:lineRule="exact"/>
              <w:ind w:firstLine="0" w:firstLineChars="0"/>
              <w:jc w:val="left"/>
              <w:rPr>
                <w:rFonts w:ascii="Times New Roman" w:hAnsi="Times New Roman" w:cs="Times New Roman"/>
                <w:b/>
                <w:iCs/>
                <w:color w:val="000000" w:themeColor="text1"/>
                <w:sz w:val="24"/>
                <w:szCs w:val="24"/>
                <w14:textFill>
                  <w14:solidFill>
                    <w14:schemeClr w14:val="tx1"/>
                  </w14:solidFill>
                </w14:textFill>
              </w:rPr>
            </w:pPr>
            <w:r>
              <w:rPr>
                <w:rFonts w:hint="eastAsia" w:ascii="Times New Roman" w:hAnsi="Times New Roman" w:cs="Times New Roman"/>
                <w:b/>
                <w:iCs/>
                <w:color w:val="000000" w:themeColor="text1"/>
                <w:sz w:val="24"/>
                <w:szCs w:val="24"/>
                <w14:textFill>
                  <w14:solidFill>
                    <w14:schemeClr w14:val="tx1"/>
                  </w14:solidFill>
                </w14:textFill>
              </w:rPr>
              <w:t>一、参观公司展厅</w:t>
            </w:r>
          </w:p>
          <w:p w14:paraId="6E5FA68F">
            <w:pPr>
              <w:pStyle w:val="20"/>
              <w:tabs>
                <w:tab w:val="left" w:pos="312"/>
              </w:tabs>
              <w:spacing w:before="156" w:beforeLines="50" w:line="440" w:lineRule="exact"/>
              <w:ind w:firstLine="0" w:firstLineChars="0"/>
              <w:jc w:val="left"/>
              <w:rPr>
                <w:rFonts w:ascii="Times New Roman" w:hAnsi="Times New Roman" w:cs="Times New Roman"/>
                <w:b/>
                <w:iCs/>
                <w:color w:val="000000" w:themeColor="text1"/>
                <w:sz w:val="24"/>
                <w:szCs w:val="24"/>
                <w14:textFill>
                  <w14:solidFill>
                    <w14:schemeClr w14:val="tx1"/>
                  </w14:solidFill>
                </w14:textFill>
              </w:rPr>
            </w:pPr>
            <w:r>
              <w:rPr>
                <w:rFonts w:hint="eastAsia" w:ascii="Times New Roman" w:hAnsi="Times New Roman" w:cs="Times New Roman"/>
                <w:b/>
                <w:iCs/>
                <w:color w:val="000000" w:themeColor="text1"/>
                <w:sz w:val="24"/>
                <w:szCs w:val="24"/>
                <w14:textFill>
                  <w14:solidFill>
                    <w14:schemeClr w14:val="tx1"/>
                  </w14:solidFill>
                </w14:textFill>
              </w:rPr>
              <w:t>二、北京证监局领导、北京上市公司协会领导致辞</w:t>
            </w:r>
          </w:p>
          <w:p w14:paraId="4C0D5BAA">
            <w:pPr>
              <w:pStyle w:val="20"/>
              <w:tabs>
                <w:tab w:val="left" w:pos="312"/>
              </w:tabs>
              <w:spacing w:before="156" w:beforeLines="50" w:line="440" w:lineRule="exact"/>
              <w:ind w:firstLine="0" w:firstLineChars="0"/>
              <w:jc w:val="left"/>
              <w:rPr>
                <w:rFonts w:ascii="Times New Roman" w:hAnsi="Times New Roman" w:cs="Times New Roman"/>
                <w:b/>
                <w:iCs/>
                <w:color w:val="000000" w:themeColor="text1"/>
                <w:sz w:val="24"/>
                <w:szCs w:val="24"/>
                <w14:textFill>
                  <w14:solidFill>
                    <w14:schemeClr w14:val="tx1"/>
                  </w14:solidFill>
                </w14:textFill>
              </w:rPr>
            </w:pPr>
            <w:r>
              <w:rPr>
                <w:rFonts w:hint="eastAsia" w:ascii="Times New Roman" w:hAnsi="Times New Roman" w:cs="Times New Roman"/>
                <w:b/>
                <w:iCs/>
                <w:color w:val="000000" w:themeColor="text1"/>
                <w:sz w:val="24"/>
                <w:szCs w:val="24"/>
                <w14:textFill>
                  <w14:solidFill>
                    <w14:schemeClr w14:val="tx1"/>
                  </w14:solidFill>
                </w14:textFill>
              </w:rPr>
              <w:t>三、上市公司经营情况介绍</w:t>
            </w:r>
          </w:p>
          <w:p w14:paraId="7C81ACFC">
            <w:pPr>
              <w:pStyle w:val="20"/>
              <w:tabs>
                <w:tab w:val="left" w:pos="312"/>
              </w:tabs>
              <w:spacing w:before="156" w:beforeLines="50" w:line="440" w:lineRule="exact"/>
              <w:ind w:firstLine="0" w:firstLineChars="0"/>
              <w:jc w:val="left"/>
              <w:rPr>
                <w:rFonts w:ascii="Times New Roman" w:hAnsi="Times New Roman" w:cs="Times New Roman"/>
                <w:b/>
                <w:iCs/>
                <w:color w:val="000000" w:themeColor="text1"/>
                <w:sz w:val="24"/>
                <w:szCs w:val="24"/>
                <w14:textFill>
                  <w14:solidFill>
                    <w14:schemeClr w14:val="tx1"/>
                  </w14:solidFill>
                </w14:textFill>
              </w:rPr>
            </w:pPr>
            <w:r>
              <w:rPr>
                <w:rFonts w:hint="eastAsia" w:ascii="Times New Roman" w:hAnsi="Times New Roman" w:cs="Times New Roman"/>
                <w:b/>
                <w:iCs/>
                <w:color w:val="000000" w:themeColor="text1"/>
                <w:sz w:val="24"/>
                <w:szCs w:val="24"/>
                <w14:textFill>
                  <w14:solidFill>
                    <w14:schemeClr w14:val="tx1"/>
                  </w14:solidFill>
                </w14:textFill>
              </w:rPr>
              <w:t>四、中金公司行业分析师介绍行业情况</w:t>
            </w:r>
            <w:bookmarkStart w:id="0" w:name="_GoBack"/>
            <w:bookmarkEnd w:id="0"/>
          </w:p>
          <w:p w14:paraId="04FF229B">
            <w:pPr>
              <w:pStyle w:val="20"/>
              <w:tabs>
                <w:tab w:val="left" w:pos="312"/>
              </w:tabs>
              <w:spacing w:before="156" w:beforeLines="50" w:line="440" w:lineRule="exact"/>
              <w:ind w:firstLine="0" w:firstLineChars="0"/>
              <w:jc w:val="left"/>
              <w:rPr>
                <w:rFonts w:ascii="Times New Roman" w:hAnsi="Times New Roman" w:cs="Times New Roman"/>
                <w:b/>
                <w:iCs/>
                <w:color w:val="000000" w:themeColor="text1"/>
                <w:sz w:val="24"/>
                <w:szCs w:val="24"/>
                <w14:textFill>
                  <w14:solidFill>
                    <w14:schemeClr w14:val="tx1"/>
                  </w14:solidFill>
                </w14:textFill>
              </w:rPr>
            </w:pPr>
            <w:r>
              <w:rPr>
                <w:rFonts w:hint="eastAsia" w:ascii="Times New Roman" w:hAnsi="Times New Roman" w:cs="Times New Roman"/>
                <w:b/>
                <w:iCs/>
                <w:color w:val="000000" w:themeColor="text1"/>
                <w:sz w:val="24"/>
                <w:szCs w:val="24"/>
                <w14:textFill>
                  <w14:solidFill>
                    <w14:schemeClr w14:val="tx1"/>
                  </w14:solidFill>
                </w14:textFill>
              </w:rPr>
              <w:t>五、投资者交流环节</w:t>
            </w:r>
          </w:p>
          <w:p w14:paraId="163B1CFA">
            <w:pPr>
              <w:pStyle w:val="20"/>
              <w:tabs>
                <w:tab w:val="left" w:pos="312"/>
              </w:tabs>
              <w:spacing w:before="156" w:beforeLines="50" w:line="440" w:lineRule="exact"/>
              <w:ind w:firstLine="0" w:firstLineChars="0"/>
              <w:jc w:val="left"/>
              <w:rPr>
                <w:rFonts w:ascii="Times New Roman" w:hAnsi="Times New Roman" w:cs="Times New Roman"/>
                <w:b/>
                <w:iCs/>
                <w:color w:val="000000" w:themeColor="text1"/>
                <w:sz w:val="24"/>
                <w:szCs w:val="24"/>
                <w:highlight w:val="lightGray"/>
                <w14:textFill>
                  <w14:solidFill>
                    <w14:schemeClr w14:val="tx1"/>
                  </w14:solidFill>
                </w14:textFill>
              </w:rPr>
            </w:pPr>
          </w:p>
          <w:p w14:paraId="26BC6FE7">
            <w:pPr>
              <w:pStyle w:val="20"/>
              <w:numPr>
                <w:ilvl w:val="0"/>
                <w:numId w:val="1"/>
              </w:numPr>
              <w:tabs>
                <w:tab w:val="left" w:pos="312"/>
              </w:tabs>
              <w:spacing w:before="156" w:beforeLines="50" w:line="440" w:lineRule="exact"/>
              <w:ind w:firstLineChars="0"/>
              <w:jc w:val="left"/>
              <w:rPr>
                <w:rFonts w:ascii="Times New Roman" w:hAnsi="Times New Roman" w:cs="Times New Roman"/>
                <w:b/>
                <w:iCs/>
                <w:color w:val="000000" w:themeColor="text1"/>
                <w:sz w:val="24"/>
                <w:szCs w:val="24"/>
                <w14:textFill>
                  <w14:solidFill>
                    <w14:schemeClr w14:val="tx1"/>
                  </w14:solidFill>
                </w14:textFill>
              </w:rPr>
            </w:pPr>
            <w:r>
              <w:rPr>
                <w:rFonts w:hint="eastAsia" w:ascii="Times New Roman" w:hAnsi="Times New Roman" w:cs="Times New Roman"/>
                <w:b/>
                <w:iCs/>
                <w:color w:val="000000" w:themeColor="text1"/>
                <w:sz w:val="24"/>
                <w:szCs w:val="24"/>
                <w14:textFill>
                  <w14:solidFill>
                    <w14:schemeClr w14:val="tx1"/>
                  </w14:solidFill>
                </w14:textFill>
              </w:rPr>
              <w:t>天智航2</w:t>
            </w:r>
            <w:r>
              <w:rPr>
                <w:rFonts w:ascii="Times New Roman" w:hAnsi="Times New Roman" w:cs="Times New Roman"/>
                <w:b/>
                <w:iCs/>
                <w:color w:val="000000" w:themeColor="text1"/>
                <w:sz w:val="24"/>
                <w:szCs w:val="24"/>
                <w14:textFill>
                  <w14:solidFill>
                    <w14:schemeClr w14:val="tx1"/>
                  </w14:solidFill>
                </w14:textFill>
              </w:rPr>
              <w:t>024</w:t>
            </w:r>
            <w:r>
              <w:rPr>
                <w:rFonts w:hint="eastAsia" w:ascii="Times New Roman" w:hAnsi="Times New Roman" w:cs="Times New Roman"/>
                <w:b/>
                <w:iCs/>
                <w:color w:val="000000" w:themeColor="text1"/>
                <w:sz w:val="24"/>
                <w:szCs w:val="24"/>
                <w14:textFill>
                  <w14:solidFill>
                    <w14:schemeClr w14:val="tx1"/>
                  </w14:solidFill>
                </w14:textFill>
              </w:rPr>
              <w:t>年机器人销售收入占比下降、耗材+服务收入占比提升，是否将是未来趋势？</w:t>
            </w:r>
          </w:p>
          <w:p w14:paraId="7FEECC75">
            <w:pPr>
              <w:tabs>
                <w:tab w:val="left" w:pos="312"/>
              </w:tabs>
              <w:spacing w:before="156" w:beforeLines="50" w:line="440" w:lineRule="exact"/>
              <w:jc w:val="left"/>
              <w:rPr>
                <w:bCs/>
                <w:iCs/>
                <w:color w:val="000000" w:themeColor="text1"/>
                <w:sz w:val="24"/>
                <w14:textFill>
                  <w14:solidFill>
                    <w14:schemeClr w14:val="tx1"/>
                  </w14:solidFill>
                </w14:textFill>
              </w:rPr>
            </w:pPr>
            <w:r>
              <w:rPr>
                <w:rFonts w:hint="eastAsia"/>
                <w:bCs/>
                <w:iCs/>
                <w:color w:val="000000" w:themeColor="text1"/>
                <w:sz w:val="24"/>
                <w14:textFill>
                  <w14:solidFill>
                    <w14:schemeClr w14:val="tx1"/>
                  </w14:solidFill>
                </w14:textFill>
              </w:rPr>
              <w:t>2024年，机器人设备销售、配套设备及耗材、技术服务这三部分收入分别为7</w:t>
            </w:r>
            <w:r>
              <w:rPr>
                <w:bCs/>
                <w:iCs/>
                <w:color w:val="000000" w:themeColor="text1"/>
                <w:sz w:val="24"/>
                <w14:textFill>
                  <w14:solidFill>
                    <w14:schemeClr w14:val="tx1"/>
                  </w14:solidFill>
                </w14:textFill>
              </w:rPr>
              <w:t>430</w:t>
            </w:r>
            <w:r>
              <w:rPr>
                <w:rFonts w:hint="eastAsia"/>
                <w:bCs/>
                <w:iCs/>
                <w:color w:val="000000" w:themeColor="text1"/>
                <w:sz w:val="24"/>
                <w14:textFill>
                  <w14:solidFill>
                    <w14:schemeClr w14:val="tx1"/>
                  </w14:solidFill>
                </w14:textFill>
              </w:rPr>
              <w:t>万元，同比下降4</w:t>
            </w:r>
            <w:r>
              <w:rPr>
                <w:bCs/>
                <w:iCs/>
                <w:color w:val="000000" w:themeColor="text1"/>
                <w:sz w:val="24"/>
                <w14:textFill>
                  <w14:solidFill>
                    <w14:schemeClr w14:val="tx1"/>
                  </w14:solidFill>
                </w14:textFill>
              </w:rPr>
              <w:t>7.39%</w:t>
            </w:r>
            <w:r>
              <w:rPr>
                <w:rFonts w:hint="eastAsia"/>
                <w:bCs/>
                <w:iCs/>
                <w:color w:val="000000" w:themeColor="text1"/>
                <w:sz w:val="24"/>
                <w14:textFill>
                  <w14:solidFill>
                    <w14:schemeClr w14:val="tx1"/>
                  </w14:solidFill>
                </w14:textFill>
              </w:rPr>
              <w:t>；配套设备及耗材收入5486万元，同比增幅28.52%；技术服务收入4296万元，同比增幅104.26%。配套设备及耗材+技术服务两项收入合计占总营收比达54.7%，超过总营收的一半。主要原因是机器人设备销售收入因多重因素影响下滑导致的收入占比下降。</w:t>
            </w:r>
          </w:p>
          <w:p w14:paraId="67EBACA1">
            <w:pPr>
              <w:tabs>
                <w:tab w:val="left" w:pos="312"/>
              </w:tabs>
              <w:spacing w:before="156" w:beforeLines="50" w:line="440" w:lineRule="exact"/>
              <w:jc w:val="left"/>
              <w:rPr>
                <w:bCs/>
                <w:iCs/>
                <w:color w:val="000000" w:themeColor="text1"/>
                <w:sz w:val="24"/>
                <w14:textFill>
                  <w14:solidFill>
                    <w14:schemeClr w14:val="tx1"/>
                  </w14:solidFill>
                </w14:textFill>
              </w:rPr>
            </w:pPr>
            <w:r>
              <w:rPr>
                <w:rFonts w:hint="eastAsia"/>
                <w:bCs/>
                <w:iCs/>
                <w:color w:val="000000" w:themeColor="text1"/>
                <w:sz w:val="24"/>
                <w14:textFill>
                  <w14:solidFill>
                    <w14:schemeClr w14:val="tx1"/>
                  </w14:solidFill>
                </w14:textFill>
              </w:rPr>
              <w:t>从未来趋势看</w:t>
            </w:r>
            <w:r>
              <w:rPr>
                <w:bCs/>
                <w:iCs/>
                <w:color w:val="000000" w:themeColor="text1"/>
                <w:sz w:val="24"/>
                <w14:textFill>
                  <w14:solidFill>
                    <w14:schemeClr w14:val="tx1"/>
                  </w14:solidFill>
                </w14:textFill>
              </w:rPr>
              <w:t>，</w:t>
            </w:r>
            <w:r>
              <w:rPr>
                <w:rFonts w:hint="eastAsia"/>
                <w:bCs/>
                <w:iCs/>
                <w:color w:val="000000" w:themeColor="text1"/>
                <w:sz w:val="24"/>
                <w14:textFill>
                  <w14:solidFill>
                    <w14:schemeClr w14:val="tx1"/>
                  </w14:solidFill>
                </w14:textFill>
              </w:rPr>
              <w:t>随着产品和应用的普及，耗材+</w:t>
            </w:r>
            <w:r>
              <w:rPr>
                <w:bCs/>
                <w:iCs/>
                <w:color w:val="000000" w:themeColor="text1"/>
                <w:sz w:val="24"/>
                <w14:textFill>
                  <w14:solidFill>
                    <w14:schemeClr w14:val="tx1"/>
                  </w14:solidFill>
                </w14:textFill>
              </w:rPr>
              <w:t>服务类收入提升已成为行业共识，这样的收入结构</w:t>
            </w:r>
            <w:r>
              <w:rPr>
                <w:rFonts w:hint="eastAsia"/>
                <w:bCs/>
                <w:iCs/>
                <w:color w:val="000000" w:themeColor="text1"/>
                <w:sz w:val="24"/>
                <w14:textFill>
                  <w14:solidFill>
                    <w14:schemeClr w14:val="tx1"/>
                  </w14:solidFill>
                </w14:textFill>
              </w:rPr>
              <w:t>更具稳定性和</w:t>
            </w:r>
            <w:r>
              <w:rPr>
                <w:bCs/>
                <w:iCs/>
                <w:color w:val="000000" w:themeColor="text1"/>
                <w:sz w:val="24"/>
                <w14:textFill>
                  <w14:solidFill>
                    <w14:schemeClr w14:val="tx1"/>
                  </w14:solidFill>
                </w14:textFill>
              </w:rPr>
              <w:t>可持续性。</w:t>
            </w:r>
          </w:p>
          <w:p w14:paraId="17344E9E">
            <w:pPr>
              <w:tabs>
                <w:tab w:val="left" w:pos="312"/>
              </w:tabs>
              <w:spacing w:before="156" w:beforeLines="50" w:line="440" w:lineRule="exact"/>
              <w:jc w:val="left"/>
              <w:rPr>
                <w:bCs/>
                <w:iCs/>
                <w:color w:val="000000" w:themeColor="text1"/>
                <w:sz w:val="24"/>
                <w14:textFill>
                  <w14:solidFill>
                    <w14:schemeClr w14:val="tx1"/>
                  </w14:solidFill>
                </w14:textFill>
              </w:rPr>
            </w:pPr>
          </w:p>
          <w:p w14:paraId="341FB31D">
            <w:pPr>
              <w:tabs>
                <w:tab w:val="left" w:pos="312"/>
              </w:tabs>
              <w:spacing w:before="156" w:beforeLines="50" w:line="440" w:lineRule="exact"/>
              <w:jc w:val="left"/>
              <w:rPr>
                <w:rFonts w:ascii="宋体" w:hAnsi="宋体"/>
                <w:b/>
                <w:bCs/>
                <w:sz w:val="30"/>
                <w:szCs w:val="30"/>
              </w:rPr>
            </w:pPr>
            <w:r>
              <w:rPr>
                <w:rFonts w:hint="eastAsia" w:eastAsiaTheme="minorEastAsia"/>
                <w:b/>
                <w:iCs/>
                <w:color w:val="000000" w:themeColor="text1"/>
                <w:sz w:val="24"/>
                <w14:textFill>
                  <w14:solidFill>
                    <w14:schemeClr w14:val="tx1"/>
                  </w14:solidFill>
                </w14:textFill>
              </w:rPr>
              <w:t>2</w:t>
            </w:r>
            <w:r>
              <w:rPr>
                <w:rFonts w:eastAsiaTheme="minorEastAsia"/>
                <w:b/>
                <w:iCs/>
                <w:color w:val="000000" w:themeColor="text1"/>
                <w:sz w:val="24"/>
                <w14:textFill>
                  <w14:solidFill>
                    <w14:schemeClr w14:val="tx1"/>
                  </w14:solidFill>
                </w14:textFill>
              </w:rPr>
              <w:t xml:space="preserve">. </w:t>
            </w:r>
            <w:r>
              <w:rPr>
                <w:rFonts w:hint="eastAsia" w:eastAsiaTheme="minorEastAsia"/>
                <w:b/>
                <w:iCs/>
                <w:color w:val="000000" w:themeColor="text1"/>
                <w:sz w:val="24"/>
                <w14:textFill>
                  <w14:solidFill>
                    <w14:schemeClr w14:val="tx1"/>
                  </w14:solidFill>
                </w14:textFill>
              </w:rPr>
              <w:t>天智航的产品远程手术应用情况如何？</w:t>
            </w:r>
          </w:p>
          <w:p w14:paraId="25DAD98F">
            <w:pPr>
              <w:tabs>
                <w:tab w:val="left" w:pos="312"/>
              </w:tabs>
              <w:spacing w:before="156" w:beforeLines="50" w:line="440" w:lineRule="exact"/>
              <w:jc w:val="left"/>
              <w:rPr>
                <w:bCs/>
                <w:iCs/>
                <w:color w:val="000000" w:themeColor="text1"/>
                <w:sz w:val="24"/>
                <w14:textFill>
                  <w14:solidFill>
                    <w14:schemeClr w14:val="tx1"/>
                  </w14:solidFill>
                </w14:textFill>
              </w:rPr>
            </w:pPr>
            <w:r>
              <w:rPr>
                <w:rFonts w:hint="eastAsia"/>
                <w:bCs/>
                <w:iCs/>
                <w:color w:val="000000" w:themeColor="text1"/>
                <w:sz w:val="24"/>
                <w14:textFill>
                  <w14:solidFill>
                    <w14:schemeClr w14:val="tx1"/>
                  </w14:solidFill>
                </w14:textFill>
              </w:rPr>
              <w:t>在机器人远程手术应用方面，自2006年完成了我国首例骨科机器人远程手术，至今</w:t>
            </w:r>
            <w:r>
              <w:rPr>
                <w:bCs/>
                <w:iCs/>
                <w:color w:val="000000" w:themeColor="text1"/>
                <w:sz w:val="24"/>
                <w14:textFill>
                  <w14:solidFill>
                    <w14:schemeClr w14:val="tx1"/>
                  </w14:solidFill>
                </w14:textFill>
              </w:rPr>
              <w:t>已为延安、银川、贵州、拉萨、克拉玛依等地的患者，开展了10</w:t>
            </w:r>
            <w:r>
              <w:rPr>
                <w:rFonts w:hint="eastAsia"/>
                <w:bCs/>
                <w:iCs/>
                <w:color w:val="000000" w:themeColor="text1"/>
                <w:sz w:val="24"/>
                <w14:textFill>
                  <w14:solidFill>
                    <w14:schemeClr w14:val="tx1"/>
                  </w14:solidFill>
                </w14:textFill>
              </w:rPr>
              <w:t>00</w:t>
            </w:r>
            <w:r>
              <w:rPr>
                <w:bCs/>
                <w:iCs/>
                <w:color w:val="000000" w:themeColor="text1"/>
                <w:sz w:val="24"/>
                <w14:textFill>
                  <w14:solidFill>
                    <w14:schemeClr w14:val="tx1"/>
                  </w14:solidFill>
                </w14:textFill>
              </w:rPr>
              <w:t>余例机器人远程手术</w:t>
            </w:r>
            <w:r>
              <w:rPr>
                <w:rFonts w:hint="eastAsia"/>
                <w:bCs/>
                <w:iCs/>
                <w:color w:val="000000" w:themeColor="text1"/>
                <w:sz w:val="24"/>
                <w14:textFill>
                  <w14:solidFill>
                    <w14:schemeClr w14:val="tx1"/>
                  </w14:solidFill>
                </w14:textFill>
              </w:rPr>
              <w:t>，目前已惠及</w:t>
            </w:r>
            <w:r>
              <w:rPr>
                <w:bCs/>
                <w:iCs/>
                <w:color w:val="000000" w:themeColor="text1"/>
                <w:sz w:val="24"/>
                <w14:textFill>
                  <w14:solidFill>
                    <w14:schemeClr w14:val="tx1"/>
                  </w14:solidFill>
                </w14:textFill>
              </w:rPr>
              <w:t>24个省市自治区直辖市，70</w:t>
            </w:r>
            <w:r>
              <w:rPr>
                <w:rFonts w:hint="eastAsia"/>
                <w:bCs/>
                <w:iCs/>
                <w:color w:val="000000" w:themeColor="text1"/>
                <w:sz w:val="24"/>
                <w14:textFill>
                  <w14:solidFill>
                    <w14:schemeClr w14:val="tx1"/>
                  </w14:solidFill>
                </w14:textFill>
              </w:rPr>
              <w:t>余</w:t>
            </w:r>
            <w:r>
              <w:rPr>
                <w:bCs/>
                <w:iCs/>
                <w:color w:val="000000" w:themeColor="text1"/>
                <w:sz w:val="24"/>
                <w14:textFill>
                  <w14:solidFill>
                    <w14:schemeClr w14:val="tx1"/>
                  </w14:solidFill>
                </w14:textFill>
              </w:rPr>
              <w:t>家医院</w:t>
            </w:r>
            <w:r>
              <w:rPr>
                <w:rFonts w:hint="eastAsia"/>
                <w:bCs/>
                <w:iCs/>
                <w:color w:val="000000" w:themeColor="text1"/>
                <w:sz w:val="24"/>
                <w14:textFill>
                  <w14:solidFill>
                    <w14:schemeClr w14:val="tx1"/>
                  </w14:solidFill>
                </w14:textFill>
              </w:rPr>
              <w:t>。</w:t>
            </w:r>
          </w:p>
          <w:p w14:paraId="3B8549EA">
            <w:pPr>
              <w:tabs>
                <w:tab w:val="left" w:pos="312"/>
              </w:tabs>
              <w:spacing w:before="156" w:beforeLines="50" w:line="440" w:lineRule="exact"/>
              <w:jc w:val="left"/>
              <w:rPr>
                <w:bCs/>
                <w:iCs/>
                <w:color w:val="000000" w:themeColor="text1"/>
                <w:sz w:val="24"/>
                <w14:textFill>
                  <w14:solidFill>
                    <w14:schemeClr w14:val="tx1"/>
                  </w14:solidFill>
                </w14:textFill>
              </w:rPr>
            </w:pPr>
            <w:r>
              <w:rPr>
                <w:rFonts w:hint="eastAsia"/>
                <w:bCs/>
                <w:iCs/>
                <w:color w:val="000000" w:themeColor="text1"/>
                <w:sz w:val="24"/>
                <w14:textFill>
                  <w14:solidFill>
                    <w14:schemeClr w14:val="tx1"/>
                  </w14:solidFill>
                </w14:textFill>
              </w:rPr>
              <w:t>机器人远程手术可以充分发挥上级医院的专家经验，帮助基层医生快速地掌握骨科手术机器人的操作技术，开展更广泛的手术应用，助力优质医疗资源下沉。</w:t>
            </w:r>
          </w:p>
          <w:p w14:paraId="02DB1F75">
            <w:pPr>
              <w:tabs>
                <w:tab w:val="left" w:pos="312"/>
              </w:tabs>
              <w:spacing w:before="156" w:beforeLines="50" w:line="440" w:lineRule="exact"/>
              <w:jc w:val="left"/>
              <w:rPr>
                <w:bCs/>
                <w:iCs/>
                <w:color w:val="000000" w:themeColor="text1"/>
                <w:sz w:val="24"/>
                <w14:textFill>
                  <w14:solidFill>
                    <w14:schemeClr w14:val="tx1"/>
                  </w14:solidFill>
                </w14:textFill>
              </w:rPr>
            </w:pPr>
          </w:p>
          <w:p w14:paraId="7D09359A">
            <w:pPr>
              <w:tabs>
                <w:tab w:val="left" w:pos="312"/>
              </w:tabs>
              <w:spacing w:before="156" w:beforeLines="50" w:line="440" w:lineRule="exact"/>
              <w:jc w:val="left"/>
              <w:rPr>
                <w:rFonts w:eastAsiaTheme="minorEastAsia"/>
                <w:b/>
                <w:iCs/>
                <w:color w:val="000000" w:themeColor="text1"/>
                <w:sz w:val="24"/>
                <w14:textFill>
                  <w14:solidFill>
                    <w14:schemeClr w14:val="tx1"/>
                  </w14:solidFill>
                </w14:textFill>
              </w:rPr>
            </w:pPr>
            <w:r>
              <w:rPr>
                <w:rFonts w:hint="eastAsia" w:eastAsiaTheme="minorEastAsia"/>
                <w:b/>
                <w:iCs/>
                <w:color w:val="000000" w:themeColor="text1"/>
                <w:sz w:val="24"/>
                <w14:textFill>
                  <w14:solidFill>
                    <w14:schemeClr w14:val="tx1"/>
                  </w14:solidFill>
                </w14:textFill>
              </w:rPr>
              <w:t>3</w:t>
            </w:r>
            <w:r>
              <w:rPr>
                <w:rFonts w:eastAsiaTheme="minorEastAsia"/>
                <w:b/>
                <w:iCs/>
                <w:color w:val="000000" w:themeColor="text1"/>
                <w:sz w:val="24"/>
                <w14:textFill>
                  <w14:solidFill>
                    <w14:schemeClr w14:val="tx1"/>
                  </w14:solidFill>
                </w14:textFill>
              </w:rPr>
              <w:t xml:space="preserve">. </w:t>
            </w:r>
            <w:r>
              <w:rPr>
                <w:rFonts w:hint="eastAsia" w:eastAsiaTheme="minorEastAsia"/>
                <w:b/>
                <w:iCs/>
                <w:color w:val="000000" w:themeColor="text1"/>
                <w:sz w:val="24"/>
                <w14:textFill>
                  <w14:solidFill>
                    <w14:schemeClr w14:val="tx1"/>
                  </w14:solidFill>
                </w14:textFill>
              </w:rPr>
              <w:t>目前骨科手术机器人产品是否在向基层医院下沉？</w:t>
            </w:r>
          </w:p>
          <w:p w14:paraId="4CD77A90">
            <w:pPr>
              <w:tabs>
                <w:tab w:val="left" w:pos="312"/>
              </w:tabs>
              <w:spacing w:before="156" w:beforeLines="50" w:line="440" w:lineRule="exact"/>
              <w:jc w:val="left"/>
              <w:rPr>
                <w:rFonts w:asciiTheme="minorHAnsi" w:hAnsiTheme="minorHAnsi" w:eastAsiaTheme="minorEastAsia"/>
                <w:bCs/>
                <w:iCs/>
                <w:color w:val="000000" w:themeColor="text1"/>
                <w:sz w:val="24"/>
                <w14:textFill>
                  <w14:solidFill>
                    <w14:schemeClr w14:val="tx1"/>
                  </w14:solidFill>
                </w14:textFill>
              </w:rPr>
            </w:pPr>
            <w:r>
              <w:rPr>
                <w:rFonts w:hint="eastAsia" w:asciiTheme="minorHAnsi" w:hAnsiTheme="minorHAnsi" w:eastAsiaTheme="minorEastAsia"/>
                <w:bCs/>
                <w:iCs/>
                <w:color w:val="000000" w:themeColor="text1"/>
                <w:sz w:val="24"/>
                <w14:textFill>
                  <w14:solidFill>
                    <w14:schemeClr w14:val="tx1"/>
                  </w14:solidFill>
                </w14:textFill>
              </w:rPr>
              <w:t>据</w:t>
            </w:r>
            <w:r>
              <w:rPr>
                <w:rFonts w:hint="eastAsia"/>
                <w:bCs/>
                <w:iCs/>
                <w:color w:val="000000" w:themeColor="text1"/>
                <w:sz w:val="24"/>
                <w14:textFill>
                  <w14:solidFill>
                    <w14:schemeClr w14:val="tx1"/>
                  </w14:solidFill>
                </w14:textFill>
              </w:rPr>
              <w:t>中国医学装备协会《</w:t>
            </w:r>
            <w:r>
              <w:rPr>
                <w:rFonts w:hint="eastAsia" w:asciiTheme="minorHAnsi" w:hAnsiTheme="minorHAnsi" w:eastAsiaTheme="minorEastAsia"/>
                <w:bCs/>
                <w:iCs/>
                <w:color w:val="000000" w:themeColor="text1"/>
                <w:sz w:val="24"/>
                <w14:textFill>
                  <w14:solidFill>
                    <w14:schemeClr w14:val="tx1"/>
                  </w14:solidFill>
                </w14:textFill>
              </w:rPr>
              <w:t>医装数胜</w:t>
            </w:r>
            <w:r>
              <w:rPr>
                <w:rFonts w:hint="eastAsia"/>
                <w:bCs/>
                <w:iCs/>
                <w:color w:val="000000" w:themeColor="text1"/>
                <w:sz w:val="24"/>
                <w14:textFill>
                  <w14:solidFill>
                    <w14:schemeClr w14:val="tx1"/>
                  </w14:solidFill>
                </w14:textFill>
              </w:rPr>
              <w:t>》</w:t>
            </w:r>
            <w:r>
              <w:rPr>
                <w:rFonts w:hint="eastAsia" w:asciiTheme="minorHAnsi" w:hAnsiTheme="minorHAnsi" w:eastAsiaTheme="minorEastAsia"/>
                <w:bCs/>
                <w:iCs/>
                <w:color w:val="000000" w:themeColor="text1"/>
                <w:sz w:val="24"/>
                <w14:textFill>
                  <w14:solidFill>
                    <w14:schemeClr w14:val="tx1"/>
                  </w14:solidFill>
                </w14:textFill>
              </w:rPr>
              <w:t>数据，</w:t>
            </w:r>
            <w:r>
              <w:rPr>
                <w:rFonts w:eastAsiaTheme="minorEastAsia"/>
                <w:bCs/>
                <w:iCs/>
                <w:color w:val="000000" w:themeColor="text1"/>
                <w:sz w:val="24"/>
                <w14:textFill>
                  <w14:solidFill>
                    <w14:schemeClr w14:val="tx1"/>
                  </w14:solidFill>
                </w14:textFill>
              </w:rPr>
              <w:t>2024</w:t>
            </w:r>
            <w:r>
              <w:rPr>
                <w:rFonts w:hint="eastAsia" w:asciiTheme="minorHAnsi" w:hAnsiTheme="minorHAnsi" w:eastAsiaTheme="minorEastAsia"/>
                <w:bCs/>
                <w:iCs/>
                <w:color w:val="000000" w:themeColor="text1"/>
                <w:sz w:val="24"/>
                <w14:textFill>
                  <w14:solidFill>
                    <w14:schemeClr w14:val="tx1"/>
                  </w14:solidFill>
                </w14:textFill>
              </w:rPr>
              <w:t>年国内骨科手术机器人仍以布局三级医院为主，二级及以下等级医院采购关节骨科手术机器人的占比明显增加。虽然目前骨科手术机器人不会快速大规模下沉到基层医院，但由一、二线城市的优势医院向区域医疗机构渗透已成为市场发展的趋势。</w:t>
            </w:r>
            <w:r>
              <w:rPr>
                <w:rFonts w:eastAsiaTheme="minorEastAsia"/>
                <w:bCs/>
                <w:iCs/>
                <w:color w:val="000000" w:themeColor="text1"/>
                <w:sz w:val="24"/>
                <w14:textFill>
                  <w14:solidFill>
                    <w14:schemeClr w14:val="tx1"/>
                  </w14:solidFill>
                </w14:textFill>
              </w:rPr>
              <w:t>2024</w:t>
            </w:r>
            <w:r>
              <w:rPr>
                <w:rFonts w:hint="eastAsia"/>
                <w:bCs/>
                <w:iCs/>
                <w:color w:val="000000" w:themeColor="text1"/>
                <w:sz w:val="24"/>
                <w14:textFill>
                  <w14:solidFill>
                    <w14:schemeClr w14:val="tx1"/>
                  </w14:solidFill>
                </w14:textFill>
              </w:rPr>
              <w:t>年</w:t>
            </w:r>
            <w:r>
              <w:rPr>
                <w:rFonts w:hint="eastAsia" w:asciiTheme="minorHAnsi" w:hAnsiTheme="minorHAnsi" w:eastAsiaTheme="minorEastAsia"/>
                <w:bCs/>
                <w:iCs/>
                <w:color w:val="000000" w:themeColor="text1"/>
                <w:sz w:val="24"/>
                <w14:textFill>
                  <w14:solidFill>
                    <w14:schemeClr w14:val="tx1"/>
                  </w14:solidFill>
                </w14:textFill>
              </w:rPr>
              <w:t>在国内骨科手术机器人整机市场中，天智航销量及销额的市场份额排名均继续稳居第一，在二级及以下等级医疗机构中的市场份额也具有较大领先优势。</w:t>
            </w:r>
          </w:p>
          <w:p w14:paraId="235EBE1F">
            <w:pPr>
              <w:tabs>
                <w:tab w:val="left" w:pos="312"/>
              </w:tabs>
              <w:spacing w:before="156" w:beforeLines="50" w:line="440" w:lineRule="exact"/>
              <w:jc w:val="left"/>
              <w:rPr>
                <w:rFonts w:asciiTheme="minorHAnsi" w:hAnsiTheme="minorHAnsi" w:eastAsiaTheme="minorEastAsia"/>
                <w:bCs/>
                <w:iCs/>
                <w:color w:val="000000" w:themeColor="text1"/>
                <w:sz w:val="24"/>
                <w14:textFill>
                  <w14:solidFill>
                    <w14:schemeClr w14:val="tx1"/>
                  </w14:solidFill>
                </w14:textFill>
              </w:rPr>
            </w:pPr>
            <w:r>
              <w:rPr>
                <w:rFonts w:asciiTheme="minorHAnsi" w:hAnsiTheme="minorHAnsi" w:eastAsiaTheme="minorEastAsia"/>
                <w:bCs/>
                <w:iCs/>
                <w:color w:val="000000" w:themeColor="text1"/>
                <w:sz w:val="24"/>
                <w14:textFill>
                  <w14:solidFill>
                    <w14:schemeClr w14:val="tx1"/>
                  </w14:solidFill>
                </w14:textFill>
              </w:rPr>
              <w:t>面对产品下沉趋势，天智航依托覆盖全国的</w:t>
            </w:r>
            <w:r>
              <w:rPr>
                <w:rFonts w:hint="eastAsia" w:asciiTheme="minorHAnsi" w:hAnsiTheme="minorHAnsi" w:eastAsiaTheme="minorEastAsia"/>
                <w:bCs/>
                <w:iCs/>
                <w:color w:val="000000" w:themeColor="text1"/>
                <w:sz w:val="24"/>
                <w14:textFill>
                  <w14:solidFill>
                    <w14:schemeClr w14:val="tx1"/>
                  </w14:solidFill>
                </w14:textFill>
              </w:rPr>
              <w:t>营销管理队伍、渠道和临床支撑体系，可高效</w:t>
            </w:r>
            <w:r>
              <w:rPr>
                <w:rFonts w:asciiTheme="minorHAnsi" w:hAnsiTheme="minorHAnsi" w:eastAsiaTheme="minorEastAsia"/>
                <w:bCs/>
                <w:iCs/>
                <w:color w:val="000000" w:themeColor="text1"/>
                <w:sz w:val="24"/>
                <w14:textFill>
                  <w14:solidFill>
                    <w14:schemeClr w14:val="tx1"/>
                  </w14:solidFill>
                </w14:textFill>
              </w:rPr>
              <w:t>响应</w:t>
            </w:r>
            <w:r>
              <w:rPr>
                <w:rFonts w:hint="eastAsia" w:asciiTheme="minorHAnsi" w:hAnsiTheme="minorHAnsi" w:eastAsiaTheme="minorEastAsia"/>
                <w:bCs/>
                <w:iCs/>
                <w:color w:val="000000" w:themeColor="text1"/>
                <w:sz w:val="24"/>
                <w14:textFill>
                  <w14:solidFill>
                    <w14:schemeClr w14:val="tx1"/>
                  </w14:solidFill>
                </w14:textFill>
              </w:rPr>
              <w:t>各级医疗机构的</w:t>
            </w:r>
            <w:r>
              <w:rPr>
                <w:rFonts w:asciiTheme="minorHAnsi" w:hAnsiTheme="minorHAnsi" w:eastAsiaTheme="minorEastAsia"/>
                <w:bCs/>
                <w:iCs/>
                <w:color w:val="000000" w:themeColor="text1"/>
                <w:sz w:val="24"/>
                <w14:textFill>
                  <w14:solidFill>
                    <w14:schemeClr w14:val="tx1"/>
                  </w14:solidFill>
                </w14:textFill>
              </w:rPr>
              <w:t>需求。</w:t>
            </w:r>
            <w:r>
              <w:rPr>
                <w:rFonts w:hint="eastAsia" w:asciiTheme="minorHAnsi" w:hAnsiTheme="minorHAnsi" w:eastAsiaTheme="minorEastAsia"/>
                <w:bCs/>
                <w:iCs/>
                <w:color w:val="000000" w:themeColor="text1"/>
                <w:sz w:val="24"/>
                <w14:textFill>
                  <w14:solidFill>
                    <w14:schemeClr w14:val="tx1"/>
                  </w14:solidFill>
                </w14:textFill>
              </w:rPr>
              <w:t>针对基层医疗市场，公司还通过研发创新，陆续推出了不同机型的产品，以满足不同层级医疗机构对骨科手术机器人的差异化需求。</w:t>
            </w:r>
          </w:p>
          <w:p w14:paraId="6BDBF7F4">
            <w:pPr>
              <w:spacing w:after="156" w:afterLines="50"/>
              <w:rPr>
                <w:rFonts w:hint="eastAsia" w:ascii="宋体" w:hAnsi="宋体"/>
              </w:rPr>
            </w:pPr>
          </w:p>
          <w:p w14:paraId="1E16C734">
            <w:pPr>
              <w:tabs>
                <w:tab w:val="left" w:pos="312"/>
              </w:tabs>
              <w:spacing w:before="156" w:beforeLines="50" w:line="440" w:lineRule="exact"/>
              <w:jc w:val="left"/>
              <w:rPr>
                <w:rFonts w:eastAsiaTheme="minorEastAsia"/>
                <w:b/>
                <w:iCs/>
                <w:color w:val="000000" w:themeColor="text1"/>
                <w:sz w:val="24"/>
                <w14:textFill>
                  <w14:solidFill>
                    <w14:schemeClr w14:val="tx1"/>
                  </w14:solidFill>
                </w14:textFill>
              </w:rPr>
            </w:pPr>
            <w:r>
              <w:rPr>
                <w:rFonts w:hint="eastAsia" w:eastAsiaTheme="minorEastAsia"/>
                <w:b/>
                <w:iCs/>
                <w:color w:val="000000" w:themeColor="text1"/>
                <w:sz w:val="24"/>
                <w14:textFill>
                  <w14:solidFill>
                    <w14:schemeClr w14:val="tx1"/>
                  </w14:solidFill>
                </w14:textFill>
              </w:rPr>
              <w:t>4、在国际化战略方面，公司有何计划？</w:t>
            </w:r>
          </w:p>
          <w:p w14:paraId="7329E1B3">
            <w:pPr>
              <w:tabs>
                <w:tab w:val="left" w:pos="312"/>
              </w:tabs>
              <w:spacing w:before="156" w:beforeLines="50" w:line="440" w:lineRule="exact"/>
              <w:jc w:val="left"/>
              <w:rPr>
                <w:rFonts w:asciiTheme="minorHAnsi" w:hAnsiTheme="minorHAnsi" w:eastAsiaTheme="minorEastAsia"/>
                <w:bCs/>
                <w:iCs/>
                <w:color w:val="000000" w:themeColor="text1"/>
                <w:sz w:val="24"/>
                <w14:textFill>
                  <w14:solidFill>
                    <w14:schemeClr w14:val="tx1"/>
                  </w14:solidFill>
                </w14:textFill>
              </w:rPr>
            </w:pPr>
            <w:r>
              <w:rPr>
                <w:rFonts w:asciiTheme="minorHAnsi" w:hAnsiTheme="minorHAnsi" w:eastAsiaTheme="minorEastAsia"/>
                <w:bCs/>
                <w:iCs/>
                <w:color w:val="000000" w:themeColor="text1"/>
                <w:sz w:val="24"/>
                <w14:textFill>
                  <w14:solidFill>
                    <w14:schemeClr w14:val="tx1"/>
                  </w14:solidFill>
                </w14:textFill>
              </w:rPr>
              <w:t>天智航国际化</w:t>
            </w:r>
            <w:r>
              <w:rPr>
                <w:rFonts w:hint="eastAsia" w:asciiTheme="minorHAnsi" w:hAnsiTheme="minorHAnsi" w:eastAsiaTheme="minorEastAsia"/>
                <w:bCs/>
                <w:iCs/>
                <w:color w:val="000000" w:themeColor="text1"/>
                <w:sz w:val="24"/>
                <w14:textFill>
                  <w14:solidFill>
                    <w14:schemeClr w14:val="tx1"/>
                  </w14:solidFill>
                </w14:textFill>
              </w:rPr>
              <w:t>战略正在稳步</w:t>
            </w:r>
            <w:r>
              <w:rPr>
                <w:rFonts w:asciiTheme="minorHAnsi" w:hAnsiTheme="minorHAnsi" w:eastAsiaTheme="minorEastAsia"/>
                <w:bCs/>
                <w:iCs/>
                <w:color w:val="000000" w:themeColor="text1"/>
                <w:sz w:val="24"/>
                <w14:textFill>
                  <w14:solidFill>
                    <w14:schemeClr w14:val="tx1"/>
                  </w14:solidFill>
                </w14:textFill>
              </w:rPr>
              <w:t>推进</w:t>
            </w:r>
            <w:r>
              <w:rPr>
                <w:rFonts w:hint="eastAsia" w:asciiTheme="minorHAnsi" w:hAnsiTheme="minorHAnsi" w:eastAsiaTheme="minorEastAsia"/>
                <w:bCs/>
                <w:iCs/>
                <w:color w:val="000000" w:themeColor="text1"/>
                <w:sz w:val="24"/>
                <w14:textFill>
                  <w14:solidFill>
                    <w14:schemeClr w14:val="tx1"/>
                  </w14:solidFill>
                </w14:textFill>
              </w:rPr>
              <w:t>。目前公司骨科手术导航定位系统及骨科手术导航定位工具包已获得欧盟</w:t>
            </w:r>
            <w:r>
              <w:rPr>
                <w:rFonts w:eastAsiaTheme="minorEastAsia"/>
                <w:bCs/>
                <w:iCs/>
                <w:color w:val="000000" w:themeColor="text1"/>
                <w:sz w:val="24"/>
                <w14:textFill>
                  <w14:solidFill>
                    <w14:schemeClr w14:val="tx1"/>
                  </w14:solidFill>
                </w14:textFill>
              </w:rPr>
              <w:t>CE</w:t>
            </w:r>
            <w:r>
              <w:rPr>
                <w:rFonts w:hint="eastAsia" w:asciiTheme="minorHAnsi" w:hAnsiTheme="minorHAnsi" w:eastAsiaTheme="minorEastAsia"/>
                <w:bCs/>
                <w:iCs/>
                <w:color w:val="000000" w:themeColor="text1"/>
                <w:sz w:val="24"/>
                <w14:textFill>
                  <w14:solidFill>
                    <w14:schemeClr w14:val="tx1"/>
                  </w14:solidFill>
                </w14:textFill>
              </w:rPr>
              <w:t>认证，将助力公司海外市场布局。</w:t>
            </w:r>
          </w:p>
          <w:p w14:paraId="1D4F3C54">
            <w:pPr>
              <w:tabs>
                <w:tab w:val="left" w:pos="312"/>
              </w:tabs>
              <w:spacing w:before="156" w:beforeLines="50" w:line="440" w:lineRule="exact"/>
              <w:jc w:val="left"/>
              <w:rPr>
                <w:rFonts w:asciiTheme="minorHAnsi" w:hAnsiTheme="minorHAnsi" w:eastAsiaTheme="minorEastAsia"/>
                <w:bCs/>
                <w:iCs/>
                <w:color w:val="000000" w:themeColor="text1"/>
                <w:sz w:val="24"/>
                <w14:textFill>
                  <w14:solidFill>
                    <w14:schemeClr w14:val="tx1"/>
                  </w14:solidFill>
                </w14:textFill>
              </w:rPr>
            </w:pPr>
            <w:r>
              <w:rPr>
                <w:rFonts w:hint="eastAsia" w:asciiTheme="minorHAnsi" w:hAnsiTheme="minorHAnsi" w:eastAsiaTheme="minorEastAsia"/>
                <w:bCs/>
                <w:iCs/>
                <w:color w:val="000000" w:themeColor="text1"/>
                <w:sz w:val="24"/>
                <w14:textFill>
                  <w14:solidFill>
                    <w14:schemeClr w14:val="tx1"/>
                  </w14:solidFill>
                </w14:textFill>
              </w:rPr>
              <w:t>未来公司也将根据海外目标市场的不同特点制定差异化的市场策略，充分发挥公司产品、服务和经验优势，不断强化自身市场竞争力。</w:t>
            </w:r>
          </w:p>
          <w:p w14:paraId="78DC1C3E">
            <w:pPr>
              <w:tabs>
                <w:tab w:val="left" w:pos="312"/>
                <w:tab w:val="left" w:pos="3415"/>
              </w:tabs>
              <w:spacing w:before="156" w:beforeLines="50" w:line="440" w:lineRule="exact"/>
              <w:rPr>
                <w:rFonts w:eastAsiaTheme="minorEastAsia"/>
                <w:bCs/>
                <w:iCs/>
                <w:color w:val="000000" w:themeColor="text1"/>
                <w:sz w:val="24"/>
                <w14:textFill>
                  <w14:solidFill>
                    <w14:schemeClr w14:val="tx1"/>
                  </w14:solidFill>
                </w14:textFill>
              </w:rPr>
            </w:pPr>
          </w:p>
        </w:tc>
      </w:tr>
      <w:tr w14:paraId="516F1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916" w:type="dxa"/>
            <w:vAlign w:val="center"/>
          </w:tcPr>
          <w:p w14:paraId="7B817DB4">
            <w:pPr>
              <w:spacing w:line="252" w:lineRule="auto"/>
              <w:rPr>
                <w:b/>
                <w:bCs/>
                <w:iCs/>
                <w:color w:val="000000"/>
                <w:sz w:val="24"/>
              </w:rPr>
            </w:pPr>
            <w:r>
              <w:rPr>
                <w:rFonts w:hint="eastAsia"/>
                <w:b/>
                <w:bCs/>
                <w:iCs/>
                <w:color w:val="000000"/>
                <w:sz w:val="24"/>
              </w:rPr>
              <w:t>关于本次活动是否涉及应当披露重大信息的说明</w:t>
            </w:r>
          </w:p>
        </w:tc>
        <w:tc>
          <w:tcPr>
            <w:tcW w:w="6720" w:type="dxa"/>
          </w:tcPr>
          <w:p w14:paraId="0AAE86CB">
            <w:pPr>
              <w:tabs>
                <w:tab w:val="left" w:pos="312"/>
                <w:tab w:val="left" w:pos="3415"/>
              </w:tabs>
              <w:spacing w:before="156" w:beforeLines="50" w:line="440" w:lineRule="exact"/>
              <w:rPr>
                <w:rFonts w:eastAsiaTheme="minorEastAsia"/>
                <w:bCs/>
                <w:iCs/>
                <w:color w:val="000000" w:themeColor="text1"/>
                <w:sz w:val="24"/>
                <w14:textFill>
                  <w14:solidFill>
                    <w14:schemeClr w14:val="tx1"/>
                  </w14:solidFill>
                </w14:textFill>
              </w:rPr>
            </w:pPr>
            <w:r>
              <w:rPr>
                <w:rFonts w:hint="eastAsia" w:eastAsiaTheme="minorEastAsia"/>
                <w:bCs/>
                <w:iCs/>
                <w:color w:val="000000" w:themeColor="text1"/>
                <w:sz w:val="24"/>
                <w14:textFill>
                  <w14:solidFill>
                    <w14:schemeClr w14:val="tx1"/>
                  </w14:solidFill>
                </w14:textFill>
              </w:rPr>
              <w:t>不涉及</w:t>
            </w:r>
          </w:p>
        </w:tc>
      </w:tr>
    </w:tbl>
    <w:p w14:paraId="6C96C87A">
      <w:pPr>
        <w:wordWrap w:val="0"/>
        <w:spacing w:line="360" w:lineRule="auto"/>
        <w:jc w:val="right"/>
        <w:rPr>
          <w:sz w:val="24"/>
        </w:rPr>
      </w:pPr>
    </w:p>
    <w:sectPr>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6D217A"/>
    <w:multiLevelType w:val="multilevel"/>
    <w:tmpl w:val="036D217A"/>
    <w:lvl w:ilvl="0" w:tentative="0">
      <w:start w:val="1"/>
      <w:numFmt w:val="decimal"/>
      <w:lvlText w:val="%1."/>
      <w:lvlJc w:val="left"/>
      <w:pPr>
        <w:ind w:left="360" w:hanging="360"/>
      </w:pPr>
      <w:rPr>
        <w:rFonts w:hint="default" w:ascii="Times New Roman" w:hAnsi="Times New Roman" w:cs="Times New Roman"/>
        <w:b/>
        <w:color w:val="000000" w:themeColor="text1"/>
        <w:sz w:val="24"/>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lhZWRjZDdiODUwMmE2OTg3YmU2NTUyYzY2ZjNiNWMifQ=="/>
  </w:docVars>
  <w:rsids>
    <w:rsidRoot w:val="001B4B80"/>
    <w:rsid w:val="00001D87"/>
    <w:rsid w:val="00005B18"/>
    <w:rsid w:val="0008744D"/>
    <w:rsid w:val="000A4CF7"/>
    <w:rsid w:val="000B18B3"/>
    <w:rsid w:val="000C0A26"/>
    <w:rsid w:val="000E4897"/>
    <w:rsid w:val="000F3CF3"/>
    <w:rsid w:val="00134C9D"/>
    <w:rsid w:val="001A7497"/>
    <w:rsid w:val="001B07A7"/>
    <w:rsid w:val="001B154C"/>
    <w:rsid w:val="001B4B80"/>
    <w:rsid w:val="001C299E"/>
    <w:rsid w:val="001D4EBB"/>
    <w:rsid w:val="001E4216"/>
    <w:rsid w:val="001E7F21"/>
    <w:rsid w:val="002016F8"/>
    <w:rsid w:val="00206C54"/>
    <w:rsid w:val="00297F92"/>
    <w:rsid w:val="002B5592"/>
    <w:rsid w:val="002C45E3"/>
    <w:rsid w:val="002D09C7"/>
    <w:rsid w:val="002F7A43"/>
    <w:rsid w:val="003012BB"/>
    <w:rsid w:val="00312374"/>
    <w:rsid w:val="00316E17"/>
    <w:rsid w:val="00340596"/>
    <w:rsid w:val="003B6EB3"/>
    <w:rsid w:val="003D5A99"/>
    <w:rsid w:val="003E3BBA"/>
    <w:rsid w:val="0040037C"/>
    <w:rsid w:val="00403F56"/>
    <w:rsid w:val="00424627"/>
    <w:rsid w:val="004404C9"/>
    <w:rsid w:val="00460623"/>
    <w:rsid w:val="00485151"/>
    <w:rsid w:val="004955B7"/>
    <w:rsid w:val="004E2B24"/>
    <w:rsid w:val="0050262E"/>
    <w:rsid w:val="00523FBF"/>
    <w:rsid w:val="005272DE"/>
    <w:rsid w:val="005539F4"/>
    <w:rsid w:val="00557186"/>
    <w:rsid w:val="00583715"/>
    <w:rsid w:val="00592830"/>
    <w:rsid w:val="005C6828"/>
    <w:rsid w:val="005D5923"/>
    <w:rsid w:val="005E0D2E"/>
    <w:rsid w:val="00620DA6"/>
    <w:rsid w:val="00626F24"/>
    <w:rsid w:val="00644AC9"/>
    <w:rsid w:val="00647BAE"/>
    <w:rsid w:val="00651F77"/>
    <w:rsid w:val="006656B1"/>
    <w:rsid w:val="006B2AEB"/>
    <w:rsid w:val="006B5B94"/>
    <w:rsid w:val="006D40CB"/>
    <w:rsid w:val="006E11D4"/>
    <w:rsid w:val="006F32A2"/>
    <w:rsid w:val="007271F9"/>
    <w:rsid w:val="00736448"/>
    <w:rsid w:val="007578EE"/>
    <w:rsid w:val="00782C7A"/>
    <w:rsid w:val="00786945"/>
    <w:rsid w:val="007958EB"/>
    <w:rsid w:val="007B0C56"/>
    <w:rsid w:val="007C702B"/>
    <w:rsid w:val="007C7416"/>
    <w:rsid w:val="007C7A27"/>
    <w:rsid w:val="007D50EC"/>
    <w:rsid w:val="008927B3"/>
    <w:rsid w:val="00893AD5"/>
    <w:rsid w:val="008B0F40"/>
    <w:rsid w:val="008B2E28"/>
    <w:rsid w:val="008B564E"/>
    <w:rsid w:val="008C2A9F"/>
    <w:rsid w:val="008E4F29"/>
    <w:rsid w:val="008F2321"/>
    <w:rsid w:val="00942624"/>
    <w:rsid w:val="0094450D"/>
    <w:rsid w:val="0095680F"/>
    <w:rsid w:val="00967220"/>
    <w:rsid w:val="00991A6E"/>
    <w:rsid w:val="00994191"/>
    <w:rsid w:val="009B4D70"/>
    <w:rsid w:val="009D0EF9"/>
    <w:rsid w:val="00A03331"/>
    <w:rsid w:val="00A1087E"/>
    <w:rsid w:val="00A453E6"/>
    <w:rsid w:val="00AD78E6"/>
    <w:rsid w:val="00B32AA5"/>
    <w:rsid w:val="00B55A7E"/>
    <w:rsid w:val="00B62A3A"/>
    <w:rsid w:val="00B74412"/>
    <w:rsid w:val="00B9238F"/>
    <w:rsid w:val="00BB09A6"/>
    <w:rsid w:val="00C0785C"/>
    <w:rsid w:val="00C12530"/>
    <w:rsid w:val="00C20BD1"/>
    <w:rsid w:val="00C5338F"/>
    <w:rsid w:val="00C75E49"/>
    <w:rsid w:val="00D32B65"/>
    <w:rsid w:val="00D413F7"/>
    <w:rsid w:val="00D43DDE"/>
    <w:rsid w:val="00D4615D"/>
    <w:rsid w:val="00D529C9"/>
    <w:rsid w:val="00D67D66"/>
    <w:rsid w:val="00D92149"/>
    <w:rsid w:val="00D960C0"/>
    <w:rsid w:val="00DB0C08"/>
    <w:rsid w:val="00DB282A"/>
    <w:rsid w:val="00DE7F1F"/>
    <w:rsid w:val="00E14F93"/>
    <w:rsid w:val="00E26254"/>
    <w:rsid w:val="00E45A7E"/>
    <w:rsid w:val="00E93BD4"/>
    <w:rsid w:val="00EC58CA"/>
    <w:rsid w:val="00ED5CC1"/>
    <w:rsid w:val="00EE4F50"/>
    <w:rsid w:val="00EF1981"/>
    <w:rsid w:val="00F23C7B"/>
    <w:rsid w:val="00F27A94"/>
    <w:rsid w:val="00F4652D"/>
    <w:rsid w:val="00F5016E"/>
    <w:rsid w:val="00F5631B"/>
    <w:rsid w:val="00F83274"/>
    <w:rsid w:val="00FA1EE8"/>
    <w:rsid w:val="00FA6C4A"/>
    <w:rsid w:val="00FC4508"/>
    <w:rsid w:val="00FD1CB8"/>
    <w:rsid w:val="00FF008E"/>
    <w:rsid w:val="00FF5504"/>
    <w:rsid w:val="00FF7441"/>
    <w:rsid w:val="019735D3"/>
    <w:rsid w:val="01D166CF"/>
    <w:rsid w:val="01E27A17"/>
    <w:rsid w:val="02E72534"/>
    <w:rsid w:val="03B43F97"/>
    <w:rsid w:val="04931375"/>
    <w:rsid w:val="04A77E0F"/>
    <w:rsid w:val="04C44220"/>
    <w:rsid w:val="054A1544"/>
    <w:rsid w:val="064B5BE4"/>
    <w:rsid w:val="071F6CCC"/>
    <w:rsid w:val="07BC764C"/>
    <w:rsid w:val="0945253F"/>
    <w:rsid w:val="09BC5583"/>
    <w:rsid w:val="0A6239F8"/>
    <w:rsid w:val="0A6F7A61"/>
    <w:rsid w:val="0B6B5CEB"/>
    <w:rsid w:val="0BE52999"/>
    <w:rsid w:val="0C8F7304"/>
    <w:rsid w:val="0D206EF1"/>
    <w:rsid w:val="0F2E78F8"/>
    <w:rsid w:val="100A1153"/>
    <w:rsid w:val="101E1199"/>
    <w:rsid w:val="108C7B5E"/>
    <w:rsid w:val="111F7E6B"/>
    <w:rsid w:val="11567032"/>
    <w:rsid w:val="12DE3A4B"/>
    <w:rsid w:val="13A51976"/>
    <w:rsid w:val="14136327"/>
    <w:rsid w:val="154D4706"/>
    <w:rsid w:val="15E63B99"/>
    <w:rsid w:val="15FD0C6C"/>
    <w:rsid w:val="18076468"/>
    <w:rsid w:val="196B1035"/>
    <w:rsid w:val="1A2A7CAB"/>
    <w:rsid w:val="1A3D5267"/>
    <w:rsid w:val="1A952EBF"/>
    <w:rsid w:val="1AD32090"/>
    <w:rsid w:val="1B8450FC"/>
    <w:rsid w:val="1EA216C6"/>
    <w:rsid w:val="1EE5303C"/>
    <w:rsid w:val="1F7F3B84"/>
    <w:rsid w:val="20787D09"/>
    <w:rsid w:val="20E91E17"/>
    <w:rsid w:val="20FD3C97"/>
    <w:rsid w:val="2103029F"/>
    <w:rsid w:val="234350B8"/>
    <w:rsid w:val="2488481C"/>
    <w:rsid w:val="25C62E2A"/>
    <w:rsid w:val="25FE274E"/>
    <w:rsid w:val="27084A19"/>
    <w:rsid w:val="273D6B16"/>
    <w:rsid w:val="27952980"/>
    <w:rsid w:val="27AA398F"/>
    <w:rsid w:val="27F351E3"/>
    <w:rsid w:val="28221B0A"/>
    <w:rsid w:val="286D250C"/>
    <w:rsid w:val="28FE4889"/>
    <w:rsid w:val="293439FE"/>
    <w:rsid w:val="2A890273"/>
    <w:rsid w:val="2B8802B1"/>
    <w:rsid w:val="2BBD18CD"/>
    <w:rsid w:val="2D9C3769"/>
    <w:rsid w:val="2EEA5018"/>
    <w:rsid w:val="2FE73D65"/>
    <w:rsid w:val="2FF737D9"/>
    <w:rsid w:val="32BD7DE1"/>
    <w:rsid w:val="330D2E91"/>
    <w:rsid w:val="333E6F95"/>
    <w:rsid w:val="33412BDD"/>
    <w:rsid w:val="339B67E8"/>
    <w:rsid w:val="3498181D"/>
    <w:rsid w:val="34A4697C"/>
    <w:rsid w:val="34C75310"/>
    <w:rsid w:val="35861472"/>
    <w:rsid w:val="3603318D"/>
    <w:rsid w:val="36237913"/>
    <w:rsid w:val="37775881"/>
    <w:rsid w:val="37871D0A"/>
    <w:rsid w:val="379626C9"/>
    <w:rsid w:val="37B45995"/>
    <w:rsid w:val="37CE02AA"/>
    <w:rsid w:val="37DC2498"/>
    <w:rsid w:val="3874602A"/>
    <w:rsid w:val="387F7796"/>
    <w:rsid w:val="38F11D61"/>
    <w:rsid w:val="3B8345F5"/>
    <w:rsid w:val="3C6D3C51"/>
    <w:rsid w:val="3D315A33"/>
    <w:rsid w:val="3E8B7DF9"/>
    <w:rsid w:val="409D605C"/>
    <w:rsid w:val="411130E9"/>
    <w:rsid w:val="41DF3CDD"/>
    <w:rsid w:val="42E12821"/>
    <w:rsid w:val="43B511B3"/>
    <w:rsid w:val="44A65DA6"/>
    <w:rsid w:val="45302862"/>
    <w:rsid w:val="456B24F5"/>
    <w:rsid w:val="46406C9A"/>
    <w:rsid w:val="46CD004A"/>
    <w:rsid w:val="480B00BA"/>
    <w:rsid w:val="48894B24"/>
    <w:rsid w:val="49947199"/>
    <w:rsid w:val="4A1A37D9"/>
    <w:rsid w:val="4A3361F4"/>
    <w:rsid w:val="4B096EDA"/>
    <w:rsid w:val="4B824E76"/>
    <w:rsid w:val="4D7508B3"/>
    <w:rsid w:val="4E792D02"/>
    <w:rsid w:val="4E895BC5"/>
    <w:rsid w:val="4FD369D5"/>
    <w:rsid w:val="50421E35"/>
    <w:rsid w:val="50887C84"/>
    <w:rsid w:val="50FD1E46"/>
    <w:rsid w:val="52CB1C51"/>
    <w:rsid w:val="532C4358"/>
    <w:rsid w:val="53B37738"/>
    <w:rsid w:val="55D70136"/>
    <w:rsid w:val="56F30668"/>
    <w:rsid w:val="58102406"/>
    <w:rsid w:val="58750F64"/>
    <w:rsid w:val="59301A97"/>
    <w:rsid w:val="59DD29BF"/>
    <w:rsid w:val="5A325814"/>
    <w:rsid w:val="5A6574B1"/>
    <w:rsid w:val="5AFF4C9D"/>
    <w:rsid w:val="5B182AE8"/>
    <w:rsid w:val="5B477144"/>
    <w:rsid w:val="5D553EB0"/>
    <w:rsid w:val="5DA76335"/>
    <w:rsid w:val="5E105805"/>
    <w:rsid w:val="5E3C2204"/>
    <w:rsid w:val="5E695D70"/>
    <w:rsid w:val="5ED21787"/>
    <w:rsid w:val="5F471AC2"/>
    <w:rsid w:val="5FCB7576"/>
    <w:rsid w:val="5FFE018B"/>
    <w:rsid w:val="632534F4"/>
    <w:rsid w:val="634B13AE"/>
    <w:rsid w:val="63E63F2C"/>
    <w:rsid w:val="64CF52FE"/>
    <w:rsid w:val="6593536E"/>
    <w:rsid w:val="663208B5"/>
    <w:rsid w:val="66764F77"/>
    <w:rsid w:val="669C0D9A"/>
    <w:rsid w:val="675C0F32"/>
    <w:rsid w:val="67BB4F53"/>
    <w:rsid w:val="6A7722E5"/>
    <w:rsid w:val="6AA20ABB"/>
    <w:rsid w:val="6B654A73"/>
    <w:rsid w:val="6B7F7FFF"/>
    <w:rsid w:val="6B904981"/>
    <w:rsid w:val="6C0635FF"/>
    <w:rsid w:val="6CF87617"/>
    <w:rsid w:val="6DE76745"/>
    <w:rsid w:val="6E4A64C0"/>
    <w:rsid w:val="6EB02870"/>
    <w:rsid w:val="70EB475C"/>
    <w:rsid w:val="72A1585B"/>
    <w:rsid w:val="72A655BC"/>
    <w:rsid w:val="72F7369B"/>
    <w:rsid w:val="73F56676"/>
    <w:rsid w:val="7424250F"/>
    <w:rsid w:val="742451C0"/>
    <w:rsid w:val="75197380"/>
    <w:rsid w:val="766F4582"/>
    <w:rsid w:val="76E20CBC"/>
    <w:rsid w:val="77CC4474"/>
    <w:rsid w:val="78583DE5"/>
    <w:rsid w:val="789328D0"/>
    <w:rsid w:val="78B348AB"/>
    <w:rsid w:val="79C36A99"/>
    <w:rsid w:val="7A742C8C"/>
    <w:rsid w:val="7AFC261C"/>
    <w:rsid w:val="7B630DFC"/>
    <w:rsid w:val="7BB8348D"/>
    <w:rsid w:val="7BD46E25"/>
    <w:rsid w:val="7C385B5E"/>
    <w:rsid w:val="7D7E14C5"/>
    <w:rsid w:val="7D7F5600"/>
    <w:rsid w:val="7DB279D3"/>
    <w:rsid w:val="7E0D60CE"/>
    <w:rsid w:val="7EBA13B9"/>
    <w:rsid w:val="7EDB5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
    <w:pPr>
      <w:keepNext/>
      <w:keepLines/>
      <w:spacing w:before="340" w:after="330" w:line="578" w:lineRule="auto"/>
      <w:outlineLvl w:val="0"/>
    </w:pPr>
    <w:rPr>
      <w:rFonts w:ascii="Arial" w:hAnsi="Arial" w:cs="Arial"/>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style>
  <w:style w:type="paragraph" w:styleId="4">
    <w:name w:val="Balloon Text"/>
    <w:basedOn w:val="1"/>
    <w:link w:val="19"/>
    <w:semiHidden/>
    <w:unhideWhenUsed/>
    <w:qFormat/>
    <w:uiPriority w:val="99"/>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8"/>
    <w:semiHidden/>
    <w:unhideWhenUsed/>
    <w:qFormat/>
    <w:uiPriority w:val="99"/>
    <w:rPr>
      <w:b/>
      <w:bC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annotation reference"/>
    <w:basedOn w:val="10"/>
    <w:semiHidden/>
    <w:unhideWhenUsed/>
    <w:qFormat/>
    <w:uiPriority w:val="99"/>
    <w:rPr>
      <w:sz w:val="21"/>
      <w:szCs w:val="21"/>
    </w:rPr>
  </w:style>
  <w:style w:type="character" w:customStyle="1" w:styleId="13">
    <w:name w:val="页脚 字符"/>
    <w:basedOn w:val="10"/>
    <w:link w:val="5"/>
    <w:qFormat/>
    <w:uiPriority w:val="0"/>
    <w:rPr>
      <w:rFonts w:ascii="Times New Roman" w:hAnsi="Times New Roman" w:eastAsia="宋体" w:cs="Times New Roman"/>
      <w:sz w:val="18"/>
      <w:szCs w:val="18"/>
    </w:rPr>
  </w:style>
  <w:style w:type="paragraph" w:customStyle="1" w:styleId="14">
    <w:name w:val="005正文"/>
    <w:basedOn w:val="1"/>
    <w:link w:val="15"/>
    <w:qFormat/>
    <w:uiPriority w:val="0"/>
    <w:pPr>
      <w:spacing w:before="50" w:beforeLines="50" w:line="360" w:lineRule="auto"/>
      <w:ind w:firstLine="200" w:firstLineChars="200"/>
    </w:pPr>
    <w:rPr>
      <w:sz w:val="24"/>
      <w:szCs w:val="22"/>
    </w:rPr>
  </w:style>
  <w:style w:type="character" w:customStyle="1" w:styleId="15">
    <w:name w:val="005正文 Char"/>
    <w:link w:val="14"/>
    <w:qFormat/>
    <w:uiPriority w:val="0"/>
    <w:rPr>
      <w:rFonts w:ascii="Times New Roman" w:hAnsi="Times New Roman" w:eastAsia="宋体" w:cs="Times New Roman"/>
      <w:sz w:val="24"/>
    </w:rPr>
  </w:style>
  <w:style w:type="character" w:customStyle="1" w:styleId="16">
    <w:name w:val="页眉 字符"/>
    <w:basedOn w:val="10"/>
    <w:link w:val="6"/>
    <w:qFormat/>
    <w:uiPriority w:val="99"/>
    <w:rPr>
      <w:rFonts w:ascii="Times New Roman" w:hAnsi="Times New Roman" w:eastAsia="宋体" w:cs="Times New Roman"/>
      <w:sz w:val="18"/>
      <w:szCs w:val="18"/>
    </w:rPr>
  </w:style>
  <w:style w:type="character" w:customStyle="1" w:styleId="17">
    <w:name w:val="批注文字 字符"/>
    <w:basedOn w:val="10"/>
    <w:link w:val="3"/>
    <w:semiHidden/>
    <w:qFormat/>
    <w:uiPriority w:val="99"/>
    <w:rPr>
      <w:kern w:val="2"/>
      <w:sz w:val="21"/>
      <w:szCs w:val="24"/>
    </w:rPr>
  </w:style>
  <w:style w:type="character" w:customStyle="1" w:styleId="18">
    <w:name w:val="批注主题 字符"/>
    <w:basedOn w:val="17"/>
    <w:link w:val="7"/>
    <w:semiHidden/>
    <w:qFormat/>
    <w:uiPriority w:val="99"/>
    <w:rPr>
      <w:b/>
      <w:bCs/>
      <w:kern w:val="2"/>
      <w:sz w:val="21"/>
      <w:szCs w:val="24"/>
    </w:rPr>
  </w:style>
  <w:style w:type="character" w:customStyle="1" w:styleId="19">
    <w:name w:val="批注框文本 字符"/>
    <w:basedOn w:val="10"/>
    <w:link w:val="4"/>
    <w:semiHidden/>
    <w:qFormat/>
    <w:uiPriority w:val="99"/>
    <w:rPr>
      <w:kern w:val="2"/>
      <w:sz w:val="18"/>
      <w:szCs w:val="18"/>
    </w:rPr>
  </w:style>
  <w:style w:type="paragraph" w:styleId="20">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1">
    <w:name w:val="标题 1 字符"/>
    <w:basedOn w:val="10"/>
    <w:link w:val="2"/>
    <w:qFormat/>
    <w:uiPriority w:val="9"/>
    <w:rPr>
      <w:rFonts w:ascii="Arial" w:hAnsi="Arial" w:cs="Arial"/>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84BC0-ED29-4325-A4DB-F2EF831547A1}">
  <ds:schemaRefs/>
</ds:datastoreItem>
</file>

<file path=docProps/app.xml><?xml version="1.0" encoding="utf-8"?>
<Properties xmlns="http://schemas.openxmlformats.org/officeDocument/2006/extended-properties" xmlns:vt="http://schemas.openxmlformats.org/officeDocument/2006/docPropsVTypes">
  <Template>Normal</Template>
  <Company>北京天智航医疗科技股份有限公司</Company>
  <Pages>3</Pages>
  <Words>1502</Words>
  <Characters>1571</Characters>
  <Lines>12</Lines>
  <Paragraphs>3</Paragraphs>
  <TotalTime>37</TotalTime>
  <ScaleCrop>false</ScaleCrop>
  <LinksUpToDate>false</LinksUpToDate>
  <CharactersWithSpaces>1706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2020-09-07T06:34:00Z</dcterms:created>
  <dc:creator>gxc</dc:creator>
  <cp:lastModifiedBy>SXY</cp:lastModifiedBy>
  <cp:lastPrinted>2021-08-27T06:45:00Z</cp:lastPrinted>
  <dcterms:modified xsi:type="dcterms:W3CDTF">2025-06-11T08:52:03Z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90DE16ACF3AB4D95B10F49B446792421</vt:lpwstr>
  </property>
  <property fmtid="{D5CDD505-2E9C-101B-9397-08002B2CF9AE}" pid="4" name="KSOTemplateDocerSaveRecord">
    <vt:lpwstr>eyJoZGlkIjoiNjlhZWRjZDdiODUwMmE2OTg3YmU2NTUyYzY2ZjNiNWMiLCJ1c2VySWQiOiIxMDE2NDAzMjM2In0=</vt:lpwstr>
  </property>
</Properties>
</file>