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3DB78">
      <w:pPr>
        <w:jc w:val="center"/>
        <w:rPr>
          <w:b/>
          <w:bCs/>
          <w:sz w:val="28"/>
          <w:szCs w:val="28"/>
        </w:rPr>
      </w:pPr>
      <w:r>
        <w:rPr>
          <w:rFonts w:hint="eastAsia"/>
          <w:b/>
          <w:bCs/>
          <w:sz w:val="28"/>
          <w:szCs w:val="28"/>
        </w:rPr>
        <w:t>黑龙江天有为电子股份有限公司</w:t>
      </w:r>
    </w:p>
    <w:p w14:paraId="00FBE4AE">
      <w:pPr>
        <w:jc w:val="center"/>
        <w:rPr>
          <w:b/>
          <w:bCs/>
          <w:sz w:val="28"/>
          <w:szCs w:val="28"/>
        </w:rPr>
      </w:pPr>
      <w:r>
        <w:rPr>
          <w:rFonts w:hint="eastAsia"/>
          <w:b/>
          <w:bCs/>
          <w:sz w:val="28"/>
          <w:szCs w:val="28"/>
        </w:rPr>
        <w:t>投资者关系活动记录表</w:t>
      </w:r>
    </w:p>
    <w:p w14:paraId="49677F1B">
      <w:pPr>
        <w:ind w:firstLine="241" w:firstLineChars="100"/>
        <w:rPr>
          <w:b/>
          <w:bCs/>
          <w:szCs w:val="24"/>
        </w:rPr>
      </w:pPr>
      <w:r>
        <w:rPr>
          <w:rFonts w:hint="eastAsia"/>
          <w:b/>
          <w:bCs/>
          <w:szCs w:val="24"/>
        </w:rPr>
        <w:t>证券简称：天有为</w:t>
      </w:r>
      <w:r>
        <w:rPr>
          <w:b/>
          <w:bCs/>
          <w:szCs w:val="24"/>
        </w:rPr>
        <w:t xml:space="preserve">  </w:t>
      </w:r>
      <w:r>
        <w:rPr>
          <w:rFonts w:hint="eastAsia"/>
          <w:b/>
          <w:bCs/>
          <w:szCs w:val="24"/>
        </w:rPr>
        <w:t xml:space="preserve">   </w:t>
      </w:r>
      <w:r>
        <w:rPr>
          <w:b/>
          <w:bCs/>
          <w:szCs w:val="24"/>
        </w:rPr>
        <w:t xml:space="preserve">   </w:t>
      </w:r>
      <w:r>
        <w:rPr>
          <w:rFonts w:hint="eastAsia"/>
          <w:b/>
          <w:bCs/>
          <w:szCs w:val="24"/>
        </w:rPr>
        <w:t>证券代码：603202</w:t>
      </w:r>
      <w:r>
        <w:rPr>
          <w:b/>
          <w:bCs/>
          <w:szCs w:val="24"/>
        </w:rPr>
        <w:t xml:space="preserve"> </w:t>
      </w:r>
      <w:r>
        <w:rPr>
          <w:rFonts w:hint="eastAsia"/>
          <w:b/>
          <w:bCs/>
          <w:szCs w:val="24"/>
        </w:rPr>
        <w:t xml:space="preserve">       </w:t>
      </w:r>
      <w:r>
        <w:rPr>
          <w:b/>
          <w:bCs/>
          <w:szCs w:val="24"/>
        </w:rPr>
        <w:t xml:space="preserve">   </w:t>
      </w:r>
      <w:r>
        <w:rPr>
          <w:rFonts w:hint="eastAsia"/>
          <w:b/>
          <w:bCs/>
          <w:szCs w:val="24"/>
        </w:rPr>
        <w:t>编号：2025-002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14:paraId="5AB0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3E4DB490">
            <w:pPr>
              <w:jc w:val="center"/>
              <w:rPr>
                <w:b/>
                <w:bCs/>
                <w:szCs w:val="24"/>
              </w:rPr>
            </w:pPr>
          </w:p>
          <w:p w14:paraId="43B4F38A">
            <w:pPr>
              <w:jc w:val="center"/>
              <w:rPr>
                <w:b/>
                <w:bCs/>
                <w:szCs w:val="24"/>
              </w:rPr>
            </w:pPr>
          </w:p>
          <w:p w14:paraId="1EEEC7D8">
            <w:pPr>
              <w:jc w:val="center"/>
              <w:rPr>
                <w:b/>
                <w:bCs/>
                <w:szCs w:val="24"/>
              </w:rPr>
            </w:pPr>
            <w:r>
              <w:rPr>
                <w:rFonts w:hint="eastAsia"/>
                <w:b/>
                <w:bCs/>
                <w:szCs w:val="24"/>
              </w:rPr>
              <w:t>投资者关系活动</w:t>
            </w:r>
          </w:p>
          <w:p w14:paraId="6A7E09E2">
            <w:pPr>
              <w:jc w:val="center"/>
              <w:rPr>
                <w:b/>
                <w:bCs/>
                <w:szCs w:val="24"/>
              </w:rPr>
            </w:pPr>
            <w:r>
              <w:rPr>
                <w:rFonts w:hint="eastAsia"/>
                <w:b/>
                <w:bCs/>
                <w:szCs w:val="24"/>
              </w:rPr>
              <w:t>类别</w:t>
            </w:r>
          </w:p>
        </w:tc>
        <w:tc>
          <w:tcPr>
            <w:tcW w:w="5891" w:type="dxa"/>
          </w:tcPr>
          <w:p w14:paraId="058541CC">
            <w:pPr>
              <w:spacing w:line="360" w:lineRule="auto"/>
              <w:rPr>
                <w:rFonts w:ascii="宋体" w:hAnsi="宋体"/>
                <w:szCs w:val="24"/>
              </w:rPr>
            </w:pPr>
            <w:r>
              <w:rPr>
                <w:rFonts w:hint="eastAsia" w:ascii="宋体" w:hAnsi="宋体"/>
                <w:szCs w:val="24"/>
              </w:rPr>
              <w:sym w:font="Wingdings 2" w:char="0052"/>
            </w:r>
            <w:r>
              <w:rPr>
                <w:rFonts w:hint="eastAsia" w:ascii="宋体" w:hAnsi="宋体"/>
                <w:szCs w:val="24"/>
              </w:rPr>
              <w:t xml:space="preserve">特定对象调研 </w:t>
            </w:r>
            <w:r>
              <w:rPr>
                <w:rFonts w:ascii="宋体" w:hAnsi="宋体"/>
                <w:szCs w:val="24"/>
              </w:rPr>
              <w:t xml:space="preserve">   </w:t>
            </w:r>
            <w:r>
              <w:rPr>
                <w:rFonts w:hint="eastAsia" w:ascii="宋体" w:hAnsi="宋体"/>
                <w:szCs w:val="24"/>
              </w:rPr>
              <w:t>□分析师会议</w:t>
            </w:r>
          </w:p>
          <w:p w14:paraId="402B1E57">
            <w:pPr>
              <w:spacing w:line="360" w:lineRule="auto"/>
              <w:rPr>
                <w:rFonts w:ascii="宋体" w:hAnsi="宋体"/>
                <w:szCs w:val="24"/>
              </w:rPr>
            </w:pPr>
            <w:r>
              <w:rPr>
                <w:rFonts w:hint="eastAsia" w:ascii="宋体" w:hAnsi="宋体"/>
                <w:szCs w:val="24"/>
              </w:rPr>
              <w:t xml:space="preserve">□媒体采访 </w:t>
            </w:r>
            <w:r>
              <w:rPr>
                <w:rFonts w:ascii="宋体" w:hAnsi="宋体"/>
                <w:szCs w:val="24"/>
              </w:rPr>
              <w:t xml:space="preserve">       </w:t>
            </w:r>
            <w:r>
              <w:rPr>
                <w:rFonts w:hint="eastAsia" w:ascii="宋体" w:hAnsi="宋体"/>
                <w:szCs w:val="24"/>
              </w:rPr>
              <w:t>□业绩说明会</w:t>
            </w:r>
          </w:p>
          <w:p w14:paraId="7F6DF376">
            <w:pPr>
              <w:spacing w:line="360" w:lineRule="auto"/>
              <w:rPr>
                <w:rFonts w:ascii="宋体" w:hAnsi="宋体"/>
                <w:szCs w:val="24"/>
              </w:rPr>
            </w:pPr>
            <w:r>
              <w:rPr>
                <w:rFonts w:hint="eastAsia" w:ascii="宋体" w:hAnsi="宋体"/>
                <w:szCs w:val="24"/>
              </w:rPr>
              <w:t xml:space="preserve">□新闻发布会 </w:t>
            </w:r>
            <w:r>
              <w:rPr>
                <w:rFonts w:ascii="宋体" w:hAnsi="宋体"/>
                <w:szCs w:val="24"/>
              </w:rPr>
              <w:t xml:space="preserve">     </w:t>
            </w:r>
            <w:r>
              <w:rPr>
                <w:rFonts w:hint="eastAsia" w:ascii="宋体" w:hAnsi="宋体"/>
                <w:szCs w:val="24"/>
              </w:rPr>
              <w:t>□路演活动</w:t>
            </w:r>
          </w:p>
          <w:p w14:paraId="5533EB4D">
            <w:pPr>
              <w:spacing w:line="360" w:lineRule="auto"/>
              <w:rPr>
                <w:szCs w:val="24"/>
              </w:rPr>
            </w:pPr>
            <w:r>
              <w:rPr>
                <w:rFonts w:hint="eastAsia" w:ascii="宋体" w:hAnsi="宋体"/>
                <w:szCs w:val="24"/>
                <w:lang w:eastAsia="zh-CN"/>
              </w:rPr>
              <w:t>☑</w:t>
            </w:r>
            <w:r>
              <w:rPr>
                <w:rFonts w:hint="eastAsia" w:ascii="宋体" w:hAnsi="宋体"/>
                <w:szCs w:val="24"/>
              </w:rPr>
              <w:t>现场参观□其他（</w:t>
            </w:r>
            <w:r>
              <w:rPr>
                <w:rFonts w:hint="eastAsia" w:ascii="宋体" w:hAnsi="宋体"/>
                <w:szCs w:val="24"/>
                <w:u w:val="thick"/>
              </w:rPr>
              <w:t>请文字说明其他活动内容</w:t>
            </w:r>
            <w:r>
              <w:rPr>
                <w:rFonts w:hint="eastAsia" w:ascii="宋体" w:hAnsi="宋体"/>
                <w:szCs w:val="24"/>
              </w:rPr>
              <w:t>）</w:t>
            </w:r>
          </w:p>
        </w:tc>
      </w:tr>
      <w:tr w14:paraId="7192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05" w:type="dxa"/>
            <w:vAlign w:val="center"/>
          </w:tcPr>
          <w:p w14:paraId="0CCF63A3">
            <w:pPr>
              <w:jc w:val="center"/>
              <w:rPr>
                <w:b/>
                <w:bCs/>
                <w:szCs w:val="24"/>
              </w:rPr>
            </w:pPr>
            <w:r>
              <w:rPr>
                <w:rFonts w:hint="eastAsia"/>
                <w:b/>
                <w:bCs/>
                <w:szCs w:val="24"/>
              </w:rPr>
              <w:t>参与单位名称</w:t>
            </w:r>
          </w:p>
          <w:p w14:paraId="34ADE057">
            <w:pPr>
              <w:jc w:val="center"/>
              <w:rPr>
                <w:b/>
                <w:bCs/>
                <w:szCs w:val="24"/>
              </w:rPr>
            </w:pPr>
            <w:r>
              <w:rPr>
                <w:rFonts w:hint="eastAsia"/>
                <w:b/>
                <w:bCs/>
                <w:szCs w:val="24"/>
              </w:rPr>
              <w:t>及人员姓名</w:t>
            </w:r>
          </w:p>
        </w:tc>
        <w:tc>
          <w:tcPr>
            <w:tcW w:w="5891" w:type="dxa"/>
            <w:vAlign w:val="center"/>
          </w:tcPr>
          <w:p w14:paraId="5BBEA3C2">
            <w:pPr>
              <w:jc w:val="left"/>
              <w:rPr>
                <w:szCs w:val="24"/>
              </w:rPr>
            </w:pPr>
            <w:r>
              <w:rPr>
                <w:rFonts w:hint="eastAsia"/>
                <w:szCs w:val="24"/>
              </w:rPr>
              <w:t>国金证券 陆强易</w:t>
            </w:r>
          </w:p>
          <w:p w14:paraId="5F0F6BE4">
            <w:pPr>
              <w:jc w:val="left"/>
              <w:rPr>
                <w:szCs w:val="24"/>
              </w:rPr>
            </w:pPr>
            <w:r>
              <w:rPr>
                <w:rFonts w:hint="eastAsia"/>
                <w:szCs w:val="24"/>
              </w:rPr>
              <w:t>国信证券 娄天煦</w:t>
            </w:r>
          </w:p>
          <w:p w14:paraId="29639E62">
            <w:pPr>
              <w:jc w:val="left"/>
              <w:rPr>
                <w:szCs w:val="24"/>
              </w:rPr>
            </w:pPr>
            <w:r>
              <w:rPr>
                <w:szCs w:val="24"/>
              </w:rPr>
              <w:t>中信建投证券</w:t>
            </w:r>
            <w:r>
              <w:rPr>
                <w:rFonts w:hint="eastAsia"/>
                <w:szCs w:val="24"/>
              </w:rPr>
              <w:t xml:space="preserve"> </w:t>
            </w:r>
            <w:r>
              <w:rPr>
                <w:szCs w:val="24"/>
              </w:rPr>
              <w:t>何人珂</w:t>
            </w:r>
          </w:p>
        </w:tc>
      </w:tr>
      <w:tr w14:paraId="3D0F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05" w:type="dxa"/>
            <w:vAlign w:val="center"/>
          </w:tcPr>
          <w:p w14:paraId="6CC833F9">
            <w:pPr>
              <w:jc w:val="center"/>
              <w:rPr>
                <w:b/>
                <w:bCs/>
                <w:szCs w:val="24"/>
              </w:rPr>
            </w:pPr>
            <w:r>
              <w:rPr>
                <w:rFonts w:hint="eastAsia"/>
                <w:b/>
                <w:bCs/>
                <w:szCs w:val="24"/>
              </w:rPr>
              <w:t>时间</w:t>
            </w:r>
          </w:p>
        </w:tc>
        <w:tc>
          <w:tcPr>
            <w:tcW w:w="5891" w:type="dxa"/>
            <w:vAlign w:val="center"/>
          </w:tcPr>
          <w:p w14:paraId="41DA9F32">
            <w:pPr>
              <w:jc w:val="left"/>
              <w:rPr>
                <w:szCs w:val="24"/>
              </w:rPr>
            </w:pPr>
            <w:r>
              <w:rPr>
                <w:rFonts w:hint="eastAsia"/>
                <w:szCs w:val="24"/>
              </w:rPr>
              <w:t>2025年6月11日</w:t>
            </w:r>
          </w:p>
        </w:tc>
      </w:tr>
      <w:tr w14:paraId="15E4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2405" w:type="dxa"/>
            <w:vAlign w:val="center"/>
          </w:tcPr>
          <w:p w14:paraId="439EB8DD">
            <w:pPr>
              <w:jc w:val="center"/>
              <w:rPr>
                <w:b/>
                <w:bCs/>
                <w:szCs w:val="24"/>
              </w:rPr>
            </w:pPr>
            <w:r>
              <w:rPr>
                <w:rFonts w:hint="eastAsia"/>
                <w:b/>
                <w:bCs/>
                <w:szCs w:val="24"/>
              </w:rPr>
              <w:t>地点</w:t>
            </w:r>
          </w:p>
        </w:tc>
        <w:tc>
          <w:tcPr>
            <w:tcW w:w="5891" w:type="dxa"/>
            <w:vAlign w:val="center"/>
          </w:tcPr>
          <w:p w14:paraId="1EC5F0BF">
            <w:pPr>
              <w:jc w:val="left"/>
              <w:rPr>
                <w:szCs w:val="24"/>
              </w:rPr>
            </w:pPr>
            <w:r>
              <w:rPr>
                <w:rFonts w:hint="eastAsia"/>
                <w:szCs w:val="24"/>
              </w:rPr>
              <w:t>黑龙江绥化市经济技术开发区昆山路9号天有为公司会议室</w:t>
            </w:r>
          </w:p>
        </w:tc>
      </w:tr>
      <w:tr w14:paraId="56BF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05DD0608">
            <w:pPr>
              <w:jc w:val="center"/>
              <w:rPr>
                <w:b/>
                <w:bCs/>
                <w:szCs w:val="24"/>
              </w:rPr>
            </w:pPr>
            <w:r>
              <w:rPr>
                <w:rFonts w:hint="eastAsia"/>
                <w:b/>
                <w:bCs/>
                <w:szCs w:val="24"/>
              </w:rPr>
              <w:t>上市公司接待人员</w:t>
            </w:r>
          </w:p>
          <w:p w14:paraId="55E69030">
            <w:pPr>
              <w:jc w:val="center"/>
              <w:rPr>
                <w:b/>
                <w:bCs/>
                <w:szCs w:val="24"/>
              </w:rPr>
            </w:pPr>
            <w:r>
              <w:rPr>
                <w:rFonts w:hint="eastAsia"/>
                <w:b/>
                <w:bCs/>
                <w:szCs w:val="24"/>
              </w:rPr>
              <w:t>姓名</w:t>
            </w:r>
          </w:p>
        </w:tc>
        <w:tc>
          <w:tcPr>
            <w:tcW w:w="5891" w:type="dxa"/>
            <w:vAlign w:val="center"/>
          </w:tcPr>
          <w:p w14:paraId="3C2CB2CB">
            <w:pPr>
              <w:jc w:val="left"/>
              <w:rPr>
                <w:szCs w:val="24"/>
              </w:rPr>
            </w:pPr>
            <w:r>
              <w:rPr>
                <w:rFonts w:hint="eastAsia"/>
                <w:szCs w:val="24"/>
              </w:rPr>
              <w:t>张  智  董事会秘书</w:t>
            </w:r>
          </w:p>
          <w:p w14:paraId="70509F59">
            <w:pPr>
              <w:jc w:val="left"/>
              <w:rPr>
                <w:szCs w:val="24"/>
              </w:rPr>
            </w:pPr>
            <w:r>
              <w:rPr>
                <w:rFonts w:hint="eastAsia"/>
                <w:szCs w:val="24"/>
              </w:rPr>
              <w:t>李怡蒙  证券事务代表</w:t>
            </w:r>
          </w:p>
        </w:tc>
      </w:tr>
      <w:tr w14:paraId="0977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1" w:hRule="atLeast"/>
        </w:trPr>
        <w:tc>
          <w:tcPr>
            <w:tcW w:w="2405" w:type="dxa"/>
          </w:tcPr>
          <w:p w14:paraId="74489F86">
            <w:pPr>
              <w:jc w:val="center"/>
              <w:rPr>
                <w:b/>
                <w:bCs/>
                <w:szCs w:val="24"/>
              </w:rPr>
            </w:pPr>
          </w:p>
          <w:p w14:paraId="30C246D0">
            <w:pPr>
              <w:jc w:val="center"/>
              <w:rPr>
                <w:b/>
                <w:bCs/>
                <w:szCs w:val="24"/>
              </w:rPr>
            </w:pPr>
          </w:p>
          <w:p w14:paraId="26A3B3DE">
            <w:pPr>
              <w:jc w:val="center"/>
              <w:rPr>
                <w:b/>
                <w:bCs/>
                <w:szCs w:val="24"/>
              </w:rPr>
            </w:pPr>
          </w:p>
          <w:p w14:paraId="054D3219">
            <w:pPr>
              <w:jc w:val="center"/>
              <w:rPr>
                <w:b/>
                <w:bCs/>
                <w:szCs w:val="24"/>
              </w:rPr>
            </w:pPr>
            <w:r>
              <w:rPr>
                <w:rFonts w:hint="eastAsia"/>
                <w:b/>
                <w:bCs/>
                <w:szCs w:val="24"/>
              </w:rPr>
              <w:t>投资者关系活动主要内容介绍</w:t>
            </w:r>
          </w:p>
        </w:tc>
        <w:tc>
          <w:tcPr>
            <w:tcW w:w="5891" w:type="dxa"/>
          </w:tcPr>
          <w:p w14:paraId="5182C81B">
            <w:pPr>
              <w:ind w:firstLine="480" w:firstLineChars="200"/>
              <w:jc w:val="left"/>
              <w:rPr>
                <w:szCs w:val="24"/>
              </w:rPr>
            </w:pPr>
            <w:r>
              <w:rPr>
                <w:rFonts w:hint="eastAsia"/>
                <w:szCs w:val="24"/>
              </w:rPr>
              <w:t>投资者参观了天有为展厅及工厂，参观后与公司进行了交流。讨论的主要内容为回答投资者提问，问答情况如下：</w:t>
            </w:r>
          </w:p>
          <w:p w14:paraId="22E7AC35">
            <w:pPr>
              <w:ind w:firstLine="482" w:firstLineChars="200"/>
              <w:jc w:val="left"/>
              <w:rPr>
                <w:b/>
                <w:bCs/>
                <w:szCs w:val="24"/>
              </w:rPr>
            </w:pPr>
            <w:r>
              <w:rPr>
                <w:rFonts w:hint="eastAsia"/>
                <w:b/>
                <w:bCs/>
                <w:szCs w:val="24"/>
              </w:rPr>
              <w:t>问题1：公司毛利率较高的原因</w:t>
            </w:r>
          </w:p>
          <w:p w14:paraId="263AAEE7">
            <w:pPr>
              <w:ind w:firstLine="480" w:firstLineChars="200"/>
              <w:jc w:val="left"/>
              <w:rPr>
                <w:szCs w:val="24"/>
              </w:rPr>
            </w:pPr>
            <w:r>
              <w:rPr>
                <w:szCs w:val="24"/>
              </w:rPr>
              <w:t>公司自主研发的复合屏技术将段码屏与TFT彩屏结合，以较低成本实现高分辨率显示，性能优势支撑产品溢价</w:t>
            </w:r>
            <w:r>
              <w:rPr>
                <w:rFonts w:hint="eastAsia"/>
                <w:szCs w:val="24"/>
              </w:rPr>
              <w:t>。公司</w:t>
            </w:r>
            <w:r>
              <w:rPr>
                <w:szCs w:val="24"/>
              </w:rPr>
              <w:t>重点发展全液晶组合仪表、双联屏仪表等高毛利产品，这些产品技术门槛高，市场竞争较少，且适配新能源汽车智能化需求，客户支付意愿更强。</w:t>
            </w:r>
          </w:p>
          <w:p w14:paraId="4BECEC3C">
            <w:pPr>
              <w:ind w:firstLine="480" w:firstLineChars="200"/>
              <w:jc w:val="left"/>
              <w:rPr>
                <w:szCs w:val="24"/>
              </w:rPr>
            </w:pPr>
            <w:r>
              <w:rPr>
                <w:szCs w:val="24"/>
              </w:rPr>
              <w:t>核心工序自制</w:t>
            </w:r>
            <w:r>
              <w:rPr>
                <w:rFonts w:hint="eastAsia"/>
                <w:szCs w:val="24"/>
              </w:rPr>
              <w:t>能力较强</w:t>
            </w:r>
            <w:r>
              <w:rPr>
                <w:szCs w:val="24"/>
              </w:rPr>
              <w:t>，</w:t>
            </w:r>
            <w:r>
              <w:rPr>
                <w:rFonts w:hint="eastAsia"/>
                <w:szCs w:val="24"/>
              </w:rPr>
              <w:t>并且</w:t>
            </w:r>
            <w:r>
              <w:rPr>
                <w:szCs w:val="24"/>
              </w:rPr>
              <w:t>生产</w:t>
            </w:r>
            <w:r>
              <w:rPr>
                <w:rFonts w:hint="eastAsia"/>
                <w:szCs w:val="24"/>
              </w:rPr>
              <w:t>基地所在地域土地厂房及</w:t>
            </w:r>
            <w:r>
              <w:rPr>
                <w:szCs w:val="24"/>
              </w:rPr>
              <w:t>人力成本</w:t>
            </w:r>
            <w:r>
              <w:rPr>
                <w:rFonts w:hint="eastAsia"/>
                <w:szCs w:val="24"/>
              </w:rPr>
              <w:t>都低于同行业，且产品体积小、重量相对较轻，物流成本低，无需就近配套。</w:t>
            </w:r>
          </w:p>
          <w:p w14:paraId="0164253C">
            <w:pPr>
              <w:ind w:firstLine="480" w:firstLineChars="200"/>
              <w:jc w:val="left"/>
              <w:rPr>
                <w:szCs w:val="24"/>
              </w:rPr>
            </w:pPr>
            <w:r>
              <w:rPr>
                <w:rFonts w:hint="eastAsia"/>
                <w:szCs w:val="24"/>
              </w:rPr>
              <w:t>在客户方面，公司成立伊始，一直专注于汽车仪表领域，积累了大量客户资源，海外客户粘度高、</w:t>
            </w:r>
            <w:r>
              <w:rPr>
                <w:szCs w:val="24"/>
              </w:rPr>
              <w:t>订单稳定性强。</w:t>
            </w:r>
          </w:p>
          <w:p w14:paraId="281895C6">
            <w:pPr>
              <w:ind w:firstLine="482" w:firstLineChars="200"/>
              <w:jc w:val="left"/>
              <w:rPr>
                <w:b/>
                <w:bCs/>
                <w:szCs w:val="24"/>
              </w:rPr>
            </w:pPr>
            <w:r>
              <w:rPr>
                <w:rFonts w:hint="eastAsia"/>
                <w:b/>
                <w:bCs/>
                <w:szCs w:val="24"/>
              </w:rPr>
              <w:t>问题2：海外收入较高的原因</w:t>
            </w:r>
          </w:p>
          <w:p w14:paraId="43153010">
            <w:pPr>
              <w:ind w:firstLine="480" w:firstLineChars="200"/>
              <w:jc w:val="left"/>
              <w:rPr>
                <w:szCs w:val="24"/>
              </w:rPr>
            </w:pPr>
            <w:r>
              <w:rPr>
                <w:rFonts w:hint="eastAsia"/>
                <w:szCs w:val="24"/>
              </w:rPr>
              <w:t>主要源自于公司多年的技术沉淀和客户资源积累，特别是复合屏技术高性价比方案的竞争力。目前</w:t>
            </w:r>
            <w:r>
              <w:rPr>
                <w:rFonts w:hint="eastAsia"/>
              </w:rPr>
              <w:t>整车厂商降本增效，使得海外汽车整车厂商更有动力选择优质的本土汽车电子供应商进行合作。特别是目前在汽车智能化发展趋势下，汽车屏幕用量增加，汽车仪表、车载信息娱乐系统等逐步向多屏化、大屏化、联屏化方向发展，也带动汽车内屏幕用量的提升。</w:t>
            </w:r>
          </w:p>
          <w:p w14:paraId="30EB3224">
            <w:pPr>
              <w:ind w:firstLine="482" w:firstLineChars="200"/>
              <w:jc w:val="left"/>
              <w:rPr>
                <w:b/>
                <w:bCs/>
                <w:szCs w:val="24"/>
              </w:rPr>
            </w:pPr>
          </w:p>
          <w:p w14:paraId="10A575F2">
            <w:pPr>
              <w:ind w:firstLine="482" w:firstLineChars="200"/>
              <w:jc w:val="left"/>
              <w:rPr>
                <w:b/>
                <w:bCs/>
                <w:szCs w:val="24"/>
              </w:rPr>
            </w:pPr>
            <w:r>
              <w:rPr>
                <w:rFonts w:hint="eastAsia"/>
                <w:b/>
                <w:bCs/>
                <w:szCs w:val="24"/>
              </w:rPr>
              <w:t>问题3：产品开发期限</w:t>
            </w:r>
          </w:p>
          <w:p w14:paraId="409ACBB7">
            <w:pPr>
              <w:ind w:firstLine="480" w:firstLineChars="200"/>
              <w:jc w:val="left"/>
              <w:rPr>
                <w:rFonts w:ascii="宋体" w:hAnsi="宋体"/>
                <w:sz w:val="20"/>
                <w:szCs w:val="24"/>
              </w:rPr>
            </w:pPr>
            <w:r>
              <w:rPr>
                <w:rFonts w:hint="eastAsia" w:ascii="宋体" w:hAnsi="宋体"/>
                <w:szCs w:val="24"/>
              </w:rPr>
              <w:t>公司产品需根据客户需要进行定制化开发，整车厂商在开发新车型或原有车型升级改款时，公司需根据客户车型开发进度同步开发汽车仪表等汽车电子产品。产品验证流程一般包括</w:t>
            </w:r>
            <w:r>
              <w:rPr>
                <w:rFonts w:eastAsia="Times New Roman"/>
                <w:szCs w:val="24"/>
              </w:rPr>
              <w:t>OTS</w:t>
            </w:r>
            <w:r>
              <w:rPr>
                <w:rFonts w:hint="eastAsia" w:ascii="宋体" w:hAnsi="宋体"/>
                <w:szCs w:val="24"/>
              </w:rPr>
              <w:t>（工装样件）、</w:t>
            </w:r>
            <w:r>
              <w:rPr>
                <w:rFonts w:eastAsia="Times New Roman"/>
                <w:szCs w:val="24"/>
              </w:rPr>
              <w:t>PPAP</w:t>
            </w:r>
            <w:r>
              <w:rPr>
                <w:rFonts w:hint="eastAsia" w:ascii="宋体" w:hAnsi="宋体"/>
                <w:szCs w:val="24"/>
              </w:rPr>
              <w:t>（生产件批准程序）等流程，在</w:t>
            </w:r>
            <w:r>
              <w:rPr>
                <w:rFonts w:eastAsia="Times New Roman"/>
                <w:szCs w:val="24"/>
              </w:rPr>
              <w:t xml:space="preserve">PPAP </w:t>
            </w:r>
            <w:r>
              <w:rPr>
                <w:rFonts w:hint="eastAsia" w:ascii="宋体" w:hAnsi="宋体"/>
                <w:szCs w:val="24"/>
              </w:rPr>
              <w:t>后公司开始批量供货。时间周期根据客户车型开发时间、验证时长等存在差异，一般在</w:t>
            </w:r>
            <w:r>
              <w:rPr>
                <w:rFonts w:eastAsia="Times New Roman"/>
                <w:szCs w:val="24"/>
              </w:rPr>
              <w:t>6-24</w:t>
            </w:r>
            <w:r>
              <w:rPr>
                <w:rFonts w:hint="eastAsia" w:ascii="宋体" w:hAnsi="宋体"/>
                <w:szCs w:val="24"/>
              </w:rPr>
              <w:t>个月。海外客户开发周期一般长于国内客户。</w:t>
            </w:r>
          </w:p>
          <w:p w14:paraId="497FDE6F">
            <w:pPr>
              <w:ind w:firstLine="482" w:firstLineChars="200"/>
              <w:jc w:val="left"/>
              <w:rPr>
                <w:b/>
                <w:bCs/>
                <w:szCs w:val="24"/>
              </w:rPr>
            </w:pPr>
            <w:r>
              <w:rPr>
                <w:rFonts w:hint="eastAsia"/>
                <w:b/>
                <w:bCs/>
                <w:szCs w:val="24"/>
              </w:rPr>
              <w:t>问题4：公司分红情况</w:t>
            </w:r>
          </w:p>
          <w:p w14:paraId="7065E014">
            <w:pPr>
              <w:ind w:firstLine="480" w:firstLineChars="200"/>
              <w:jc w:val="left"/>
              <w:rPr>
                <w:szCs w:val="24"/>
              </w:rPr>
            </w:pPr>
            <w:r>
              <w:rPr>
                <w:rFonts w:hint="eastAsia"/>
                <w:szCs w:val="24"/>
              </w:rPr>
              <w:t>上市前2023年现金分红4</w:t>
            </w:r>
            <w:r>
              <w:rPr>
                <w:szCs w:val="24"/>
              </w:rPr>
              <w:t>,</w:t>
            </w:r>
            <w:r>
              <w:rPr>
                <w:rFonts w:hint="eastAsia"/>
                <w:szCs w:val="24"/>
              </w:rPr>
              <w:t>200万元。</w:t>
            </w:r>
            <w:r>
              <w:rPr>
                <w:szCs w:val="24"/>
              </w:rPr>
              <w:t>2024年度（上市首年）</w:t>
            </w:r>
            <w:r>
              <w:rPr>
                <w:rFonts w:hint="eastAsia"/>
                <w:szCs w:val="24"/>
              </w:rPr>
              <w:t>公司</w:t>
            </w:r>
            <w:r>
              <w:rPr>
                <w:szCs w:val="24"/>
              </w:rPr>
              <w:t>拟每10股派</w:t>
            </w:r>
            <w:r>
              <w:rPr>
                <w:rFonts w:hint="eastAsia"/>
                <w:szCs w:val="24"/>
              </w:rPr>
              <w:t>发现金股利</w:t>
            </w:r>
            <w:r>
              <w:rPr>
                <w:szCs w:val="24"/>
              </w:rPr>
              <w:t>24.9元</w:t>
            </w:r>
            <w:r>
              <w:rPr>
                <w:rFonts w:hint="eastAsia"/>
                <w:szCs w:val="24"/>
              </w:rPr>
              <w:t>（含税），</w:t>
            </w:r>
            <w:r>
              <w:rPr>
                <w:szCs w:val="24"/>
              </w:rPr>
              <w:t>合计</w:t>
            </w:r>
            <w:r>
              <w:rPr>
                <w:rFonts w:hint="eastAsia"/>
                <w:szCs w:val="24"/>
              </w:rPr>
              <w:t>拟派发现金股利</w:t>
            </w:r>
            <w:r>
              <w:rPr>
                <w:szCs w:val="24"/>
              </w:rPr>
              <w:t>3.984亿元</w:t>
            </w:r>
            <w:r>
              <w:rPr>
                <w:rFonts w:hint="eastAsia"/>
                <w:szCs w:val="24"/>
              </w:rPr>
              <w:t>（含税）用来回馈股东</w:t>
            </w:r>
            <w:r>
              <w:rPr>
                <w:szCs w:val="24"/>
              </w:rPr>
              <w:t>，占</w:t>
            </w:r>
            <w:r>
              <w:rPr>
                <w:rFonts w:hint="eastAsia"/>
                <w:szCs w:val="24"/>
              </w:rPr>
              <w:t>当年</w:t>
            </w:r>
            <w:r>
              <w:rPr>
                <w:szCs w:val="24"/>
              </w:rPr>
              <w:t>归母净利润的35.06%，</w:t>
            </w:r>
            <w:r>
              <w:rPr>
                <w:rFonts w:hint="eastAsia"/>
                <w:szCs w:val="24"/>
              </w:rPr>
              <w:t>本方案尚需经公司股东大会审议通过。公司后续将根据资金需求及长期发展规划制定利润分配方案。</w:t>
            </w:r>
            <w:bookmarkStart w:id="0" w:name="_GoBack"/>
            <w:bookmarkEnd w:id="0"/>
          </w:p>
          <w:p w14:paraId="10A2FCD3">
            <w:pPr>
              <w:jc w:val="center"/>
              <w:rPr>
                <w:szCs w:val="24"/>
              </w:rPr>
            </w:pPr>
          </w:p>
        </w:tc>
      </w:tr>
      <w:tr w14:paraId="5EAD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1B917B17">
            <w:pPr>
              <w:jc w:val="center"/>
              <w:rPr>
                <w:b/>
                <w:bCs/>
                <w:szCs w:val="24"/>
              </w:rPr>
            </w:pPr>
          </w:p>
          <w:p w14:paraId="26870F0F">
            <w:pPr>
              <w:jc w:val="center"/>
              <w:rPr>
                <w:b/>
                <w:bCs/>
                <w:szCs w:val="24"/>
              </w:rPr>
            </w:pPr>
            <w:r>
              <w:rPr>
                <w:rFonts w:hint="eastAsia"/>
                <w:b/>
                <w:bCs/>
                <w:szCs w:val="24"/>
              </w:rPr>
              <w:t>附件清单（如有）</w:t>
            </w:r>
          </w:p>
          <w:p w14:paraId="2633A9BB">
            <w:pPr>
              <w:rPr>
                <w:b/>
                <w:bCs/>
                <w:szCs w:val="24"/>
              </w:rPr>
            </w:pPr>
          </w:p>
        </w:tc>
        <w:tc>
          <w:tcPr>
            <w:tcW w:w="5891" w:type="dxa"/>
            <w:vAlign w:val="center"/>
          </w:tcPr>
          <w:p w14:paraId="115A2218">
            <w:pPr>
              <w:rPr>
                <w:szCs w:val="24"/>
              </w:rPr>
            </w:pPr>
            <w:r>
              <w:rPr>
                <w:rFonts w:hint="eastAsia"/>
                <w:szCs w:val="24"/>
              </w:rPr>
              <w:t>无</w:t>
            </w:r>
          </w:p>
        </w:tc>
      </w:tr>
      <w:tr w14:paraId="64C2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14:paraId="5CA55B3B">
            <w:pPr>
              <w:jc w:val="center"/>
              <w:rPr>
                <w:b/>
                <w:bCs/>
                <w:szCs w:val="24"/>
              </w:rPr>
            </w:pPr>
            <w:r>
              <w:rPr>
                <w:rFonts w:hint="eastAsia"/>
                <w:b/>
                <w:bCs/>
                <w:szCs w:val="24"/>
              </w:rPr>
              <w:t>关于本次活动是否涉及应当披露重大信息的说明</w:t>
            </w:r>
          </w:p>
        </w:tc>
        <w:tc>
          <w:tcPr>
            <w:tcW w:w="5891" w:type="dxa"/>
            <w:vAlign w:val="center"/>
          </w:tcPr>
          <w:p w14:paraId="6E9334E9">
            <w:pPr>
              <w:rPr>
                <w:szCs w:val="24"/>
              </w:rPr>
            </w:pPr>
            <w:r>
              <w:rPr>
                <w:rFonts w:hint="eastAsia"/>
                <w:szCs w:val="24"/>
              </w:rPr>
              <w:t>不涉及</w:t>
            </w:r>
          </w:p>
        </w:tc>
      </w:tr>
    </w:tbl>
    <w:p w14:paraId="01802544">
      <w:pPr>
        <w:spacing w:line="360" w:lineRule="auto"/>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MTJjNWMxZmQxZGFjYjU0MzM4ZTMwNzQ5Y2Y5ZWQifQ=="/>
  </w:docVars>
  <w:rsids>
    <w:rsidRoot w:val="00172A27"/>
    <w:rsid w:val="000B61FC"/>
    <w:rsid w:val="000D2872"/>
    <w:rsid w:val="000E1009"/>
    <w:rsid w:val="00171B17"/>
    <w:rsid w:val="00172A27"/>
    <w:rsid w:val="001F0F88"/>
    <w:rsid w:val="0020500F"/>
    <w:rsid w:val="002B0069"/>
    <w:rsid w:val="003A3A46"/>
    <w:rsid w:val="003F3C92"/>
    <w:rsid w:val="004754E9"/>
    <w:rsid w:val="004E40CA"/>
    <w:rsid w:val="004F5ACB"/>
    <w:rsid w:val="00513BB5"/>
    <w:rsid w:val="00724D0F"/>
    <w:rsid w:val="00773E29"/>
    <w:rsid w:val="00880942"/>
    <w:rsid w:val="009F4679"/>
    <w:rsid w:val="00A300B7"/>
    <w:rsid w:val="00B71EE6"/>
    <w:rsid w:val="00DC0644"/>
    <w:rsid w:val="00DC5E46"/>
    <w:rsid w:val="00E8684F"/>
    <w:rsid w:val="00E9000F"/>
    <w:rsid w:val="00FE1880"/>
    <w:rsid w:val="165A3759"/>
    <w:rsid w:val="192A325D"/>
    <w:rsid w:val="2B455958"/>
    <w:rsid w:val="2B886A64"/>
    <w:rsid w:val="2F6D5EC4"/>
    <w:rsid w:val="33E15474"/>
    <w:rsid w:val="3BA64AD4"/>
    <w:rsid w:val="3EF9337B"/>
    <w:rsid w:val="3F3B5BF3"/>
    <w:rsid w:val="562B08A3"/>
    <w:rsid w:val="59EA3A5D"/>
    <w:rsid w:val="696149C5"/>
    <w:rsid w:val="6E0C64EB"/>
    <w:rsid w:val="7234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批注框文本 字符"/>
    <w:basedOn w:val="7"/>
    <w:link w:val="2"/>
    <w:semiHidden/>
    <w:qFormat/>
    <w:uiPriority w:val="99"/>
    <w:rPr>
      <w:rFonts w:ascii="Times New Roman" w:hAnsi="Times New Roman" w:eastAsia="宋体"/>
      <w:sz w:val="18"/>
      <w:szCs w:val="18"/>
    </w:rPr>
  </w:style>
  <w:style w:type="character" w:customStyle="1" w:styleId="10">
    <w:name w:val="页眉 字符"/>
    <w:basedOn w:val="7"/>
    <w:link w:val="4"/>
    <w:qFormat/>
    <w:uiPriority w:val="99"/>
    <w:rPr>
      <w:rFonts w:ascii="Times New Roman" w:hAnsi="Times New Roman" w:eastAsia="宋体"/>
      <w:sz w:val="18"/>
      <w:szCs w:val="18"/>
    </w:rPr>
  </w:style>
  <w:style w:type="character" w:customStyle="1" w:styleId="11">
    <w:name w:val="页脚 字符"/>
    <w:basedOn w:val="7"/>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1013</Words>
  <Characters>1065</Characters>
  <Lines>8</Lines>
  <Paragraphs>2</Paragraphs>
  <TotalTime>82</TotalTime>
  <ScaleCrop>false</ScaleCrop>
  <LinksUpToDate>false</LinksUpToDate>
  <CharactersWithSpaces>1112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2020-08-31T03:54:00Z</dcterms:created>
  <dc:creator>荣大-李雷</dc:creator>
  <cp:lastModifiedBy>企业用户_411354505</cp:lastModifiedBy>
  <dcterms:modified xsi:type="dcterms:W3CDTF">2025-06-12T03:18:06Z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4A6E17E3F318471AA9BADBE44724E357_13</vt:lpwstr>
  </property>
  <property fmtid="{D5CDD505-2E9C-101B-9397-08002B2CF9AE}" pid="4" name="KSOTemplateDocerSaveRecord">
    <vt:lpwstr>eyJoZGlkIjoiNzdkMDBiZGE4YTg1NGIzNGY3NWExNzg3NDMzY2U2MzIiLCJ1c2VySWQiOiIxNjE2MzkxMTIzIn0=</vt:lpwstr>
  </property>
</Properties>
</file>