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7D235" w14:textId="77777777" w:rsidR="00CB56B2" w:rsidRDefault="00E350BF">
      <w:pPr>
        <w:jc w:val="left"/>
        <w:rPr>
          <w:rFonts w:ascii="宋体" w:hAnsi="宋体"/>
          <w:sz w:val="24"/>
          <w:szCs w:val="24"/>
        </w:rPr>
      </w:pPr>
      <w:r>
        <w:rPr>
          <w:rFonts w:ascii="宋体" w:hAnsi="宋体" w:hint="eastAsia"/>
          <w:sz w:val="24"/>
          <w:szCs w:val="24"/>
        </w:rPr>
        <w:t>证券代码：</w:t>
      </w:r>
      <w:r>
        <w:rPr>
          <w:rFonts w:ascii="宋体" w:hAnsi="宋体"/>
          <w:sz w:val="24"/>
          <w:szCs w:val="24"/>
        </w:rPr>
        <w:t>688067</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proofErr w:type="gramStart"/>
      <w:r>
        <w:rPr>
          <w:rFonts w:ascii="宋体" w:hAnsi="宋体"/>
          <w:sz w:val="24"/>
          <w:szCs w:val="24"/>
        </w:rPr>
        <w:t>爱威科技</w:t>
      </w:r>
      <w:proofErr w:type="gramEnd"/>
    </w:p>
    <w:p w14:paraId="4260380C" w14:textId="77777777" w:rsidR="00CB56B2" w:rsidRDefault="00E350BF">
      <w:pPr>
        <w:jc w:val="center"/>
        <w:rPr>
          <w:rFonts w:ascii="黑体" w:eastAsia="黑体" w:hAnsi="黑体"/>
          <w:sz w:val="36"/>
          <w:szCs w:val="36"/>
        </w:rPr>
      </w:pPr>
      <w:r>
        <w:rPr>
          <w:rFonts w:ascii="黑体" w:eastAsia="黑体" w:hAnsi="黑体" w:hint="eastAsia"/>
          <w:sz w:val="36"/>
          <w:szCs w:val="36"/>
        </w:rPr>
        <w:t>爱威科技股份有限公司</w:t>
      </w:r>
    </w:p>
    <w:p w14:paraId="5DC1BC98" w14:textId="77777777" w:rsidR="00CB56B2" w:rsidRDefault="00E350BF">
      <w:pPr>
        <w:jc w:val="center"/>
        <w:rPr>
          <w:rFonts w:ascii="黑体" w:eastAsia="黑体" w:hAnsi="黑体"/>
          <w:sz w:val="36"/>
          <w:szCs w:val="36"/>
        </w:rPr>
      </w:pPr>
      <w:r>
        <w:rPr>
          <w:rFonts w:ascii="黑体" w:eastAsia="黑体" w:hAnsi="黑体" w:hint="eastAsia"/>
          <w:sz w:val="36"/>
          <w:szCs w:val="36"/>
        </w:rPr>
        <w:t>投资者关系活动记录表</w:t>
      </w:r>
    </w:p>
    <w:p w14:paraId="1C30A15F" w14:textId="77777777" w:rsidR="00CB56B2" w:rsidRDefault="00CB56B2">
      <w:pPr>
        <w:jc w:val="center"/>
        <w:rPr>
          <w:rFonts w:ascii="黑体" w:eastAsia="黑体" w:hAnsi="黑体"/>
          <w:sz w:val="24"/>
          <w:szCs w:val="24"/>
        </w:rPr>
      </w:pPr>
    </w:p>
    <w:p w14:paraId="6D11BE9F" w14:textId="77777777" w:rsidR="00CB56B2" w:rsidRDefault="00E350BF">
      <w:pPr>
        <w:ind w:right="720"/>
        <w:jc w:val="right"/>
        <w:rPr>
          <w:rFonts w:ascii="黑体" w:eastAsia="黑体" w:hAnsi="黑体"/>
          <w:sz w:val="24"/>
          <w:szCs w:val="24"/>
        </w:rPr>
      </w:pPr>
      <w:r>
        <w:rPr>
          <w:rFonts w:ascii="黑体" w:eastAsia="黑体" w:hAnsi="黑体" w:hint="eastAsia"/>
          <w:sz w:val="24"/>
          <w:szCs w:val="24"/>
        </w:rPr>
        <w:t>编号：2025-002</w:t>
      </w:r>
    </w:p>
    <w:tbl>
      <w:tblPr>
        <w:tblW w:w="8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908"/>
      </w:tblGrid>
      <w:tr w:rsidR="00CB56B2" w14:paraId="6429FBDB" w14:textId="77777777">
        <w:trPr>
          <w:trHeight w:val="838"/>
        </w:trPr>
        <w:tc>
          <w:tcPr>
            <w:tcW w:w="1809" w:type="dxa"/>
            <w:shd w:val="clear" w:color="auto" w:fill="auto"/>
            <w:vAlign w:val="center"/>
          </w:tcPr>
          <w:p w14:paraId="4F37A33A" w14:textId="77777777" w:rsidR="00CB56B2" w:rsidRDefault="00E350BF">
            <w:pPr>
              <w:rPr>
                <w:sz w:val="24"/>
                <w:szCs w:val="24"/>
              </w:rPr>
            </w:pPr>
            <w:r>
              <w:rPr>
                <w:rFonts w:hint="eastAsia"/>
                <w:sz w:val="24"/>
                <w:szCs w:val="24"/>
              </w:rPr>
              <w:t>投资者关系活动类别</w:t>
            </w:r>
          </w:p>
        </w:tc>
        <w:tc>
          <w:tcPr>
            <w:tcW w:w="6908" w:type="dxa"/>
            <w:shd w:val="clear" w:color="auto" w:fill="auto"/>
            <w:vAlign w:val="center"/>
          </w:tcPr>
          <w:p w14:paraId="320CF21B" w14:textId="77777777" w:rsidR="00CB56B2" w:rsidRDefault="00CB56B2">
            <w:pPr>
              <w:pStyle w:val="TableParagraph"/>
              <w:spacing w:before="7"/>
              <w:rPr>
                <w:rFonts w:ascii="宋体" w:eastAsia="宋体" w:hAnsi="宋体" w:cs="宋体"/>
                <w:sz w:val="18"/>
              </w:rPr>
            </w:pPr>
          </w:p>
          <w:p w14:paraId="7D89D9B0" w14:textId="77777777" w:rsidR="00CB56B2" w:rsidRDefault="00DC3BD0">
            <w:pPr>
              <w:pStyle w:val="TableParagraph"/>
              <w:tabs>
                <w:tab w:val="left" w:pos="2418"/>
              </w:tabs>
              <w:spacing w:before="1"/>
              <w:ind w:left="107"/>
              <w:rPr>
                <w:rFonts w:ascii="宋体" w:eastAsia="宋体" w:hAnsi="宋体" w:cs="宋体"/>
                <w:sz w:val="24"/>
                <w:szCs w:val="24"/>
              </w:rPr>
            </w:pPr>
            <w:sdt>
              <w:sdtPr>
                <w:rPr>
                  <w:rFonts w:ascii="宋体" w:eastAsia="宋体" w:hAnsi="宋体" w:cs="宋体" w:hint="eastAsia"/>
                  <w:sz w:val="24"/>
                  <w:szCs w:val="24"/>
                </w:rPr>
                <w:id w:val="249780449"/>
                <w14:checkbox>
                  <w14:checked w14:val="1"/>
                  <w14:checkedState w14:val="0052" w14:font="Wingdings 2"/>
                  <w14:uncheckedState w14:val="2610" w14:font="MS Gothic"/>
                </w14:checkbox>
              </w:sdtPr>
              <w:sdtEndPr/>
              <w:sdtContent>
                <w:r w:rsidR="00E350BF">
                  <w:rPr>
                    <w:rFonts w:ascii="宋体" w:eastAsia="宋体" w:hAnsi="宋体" w:cs="宋体" w:hint="eastAsia"/>
                    <w:sz w:val="24"/>
                    <w:szCs w:val="24"/>
                  </w:rPr>
                  <w:sym w:font="Wingdings 2" w:char="F052"/>
                </w:r>
              </w:sdtContent>
            </w:sdt>
            <w:r w:rsidR="00E350BF">
              <w:rPr>
                <w:rFonts w:ascii="宋体" w:eastAsia="宋体" w:hAnsi="宋体" w:cs="宋体" w:hint="eastAsia"/>
                <w:sz w:val="24"/>
                <w:szCs w:val="24"/>
              </w:rPr>
              <w:t>特</w:t>
            </w:r>
            <w:r w:rsidR="00E350BF">
              <w:rPr>
                <w:rFonts w:ascii="宋体" w:eastAsia="宋体" w:hAnsi="宋体" w:cs="宋体" w:hint="eastAsia"/>
                <w:spacing w:val="-3"/>
                <w:sz w:val="24"/>
                <w:szCs w:val="24"/>
              </w:rPr>
              <w:t>定</w:t>
            </w:r>
            <w:r w:rsidR="00E350BF">
              <w:rPr>
                <w:rFonts w:ascii="宋体" w:eastAsia="宋体" w:hAnsi="宋体" w:cs="宋体" w:hint="eastAsia"/>
                <w:sz w:val="24"/>
                <w:szCs w:val="24"/>
              </w:rPr>
              <w:t>对</w:t>
            </w:r>
            <w:r w:rsidR="00E350BF">
              <w:rPr>
                <w:rFonts w:ascii="宋体" w:eastAsia="宋体" w:hAnsi="宋体" w:cs="宋体" w:hint="eastAsia"/>
                <w:spacing w:val="-3"/>
                <w:sz w:val="24"/>
                <w:szCs w:val="24"/>
              </w:rPr>
              <w:t>象</w:t>
            </w:r>
            <w:r w:rsidR="00E350BF">
              <w:rPr>
                <w:rFonts w:ascii="宋体" w:eastAsia="宋体" w:hAnsi="宋体" w:cs="宋体" w:hint="eastAsia"/>
                <w:sz w:val="24"/>
                <w:szCs w:val="24"/>
              </w:rPr>
              <w:t>调研</w:t>
            </w:r>
            <w:r w:rsidR="00E350BF">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EndPr/>
              <w:sdtContent>
                <w:r w:rsidR="00E350BF">
                  <w:rPr>
                    <w:rFonts w:ascii="MS Gothic" w:eastAsia="MS Gothic" w:hAnsi="MS Gothic" w:cs="宋体" w:hint="eastAsia"/>
                    <w:sz w:val="24"/>
                    <w:szCs w:val="24"/>
                  </w:rPr>
                  <w:t>☐</w:t>
                </w:r>
              </w:sdtContent>
            </w:sdt>
            <w:r w:rsidR="00E350BF">
              <w:rPr>
                <w:rFonts w:ascii="宋体" w:eastAsia="宋体" w:hAnsi="宋体" w:cs="宋体" w:hint="eastAsia"/>
                <w:sz w:val="24"/>
                <w:szCs w:val="24"/>
              </w:rPr>
              <w:t>分</w:t>
            </w:r>
            <w:r w:rsidR="00E350BF">
              <w:rPr>
                <w:rFonts w:ascii="宋体" w:eastAsia="宋体" w:hAnsi="宋体" w:cs="宋体" w:hint="eastAsia"/>
                <w:spacing w:val="-3"/>
                <w:sz w:val="24"/>
                <w:szCs w:val="24"/>
              </w:rPr>
              <w:t>析</w:t>
            </w:r>
            <w:r w:rsidR="00E350BF">
              <w:rPr>
                <w:rFonts w:ascii="宋体" w:eastAsia="宋体" w:hAnsi="宋体" w:cs="宋体" w:hint="eastAsia"/>
                <w:sz w:val="24"/>
                <w:szCs w:val="24"/>
              </w:rPr>
              <w:t>师</w:t>
            </w:r>
            <w:r w:rsidR="00E350BF">
              <w:rPr>
                <w:rFonts w:ascii="宋体" w:eastAsia="宋体" w:hAnsi="宋体" w:cs="宋体" w:hint="eastAsia"/>
                <w:spacing w:val="-3"/>
                <w:sz w:val="24"/>
                <w:szCs w:val="24"/>
              </w:rPr>
              <w:t>会</w:t>
            </w:r>
            <w:r w:rsidR="00E350BF">
              <w:rPr>
                <w:rFonts w:ascii="宋体" w:eastAsia="宋体" w:hAnsi="宋体" w:cs="宋体" w:hint="eastAsia"/>
                <w:sz w:val="24"/>
                <w:szCs w:val="24"/>
              </w:rPr>
              <w:t>议</w:t>
            </w:r>
          </w:p>
          <w:p w14:paraId="082FD853" w14:textId="77777777" w:rsidR="00CB56B2" w:rsidRDefault="00CB56B2">
            <w:pPr>
              <w:pStyle w:val="TableParagraph"/>
              <w:spacing w:before="11"/>
              <w:rPr>
                <w:rFonts w:ascii="宋体" w:eastAsia="宋体" w:hAnsi="宋体" w:cs="宋体"/>
                <w:sz w:val="24"/>
                <w:szCs w:val="24"/>
              </w:rPr>
            </w:pPr>
          </w:p>
          <w:p w14:paraId="292A8E1E" w14:textId="77777777" w:rsidR="00CB56B2" w:rsidRDefault="00DC3BD0">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EndPr/>
              <w:sdtContent>
                <w:r w:rsidR="00E350BF">
                  <w:rPr>
                    <w:rFonts w:ascii="MS Gothic" w:eastAsia="MS Gothic" w:hAnsi="MS Gothic" w:cs="宋体" w:hint="eastAsia"/>
                    <w:sz w:val="24"/>
                    <w:szCs w:val="24"/>
                  </w:rPr>
                  <w:t>☐</w:t>
                </w:r>
              </w:sdtContent>
            </w:sdt>
            <w:r w:rsidR="00E350BF">
              <w:rPr>
                <w:rFonts w:ascii="宋体" w:eastAsia="宋体" w:hAnsi="宋体" w:cs="宋体" w:hint="eastAsia"/>
                <w:sz w:val="24"/>
                <w:szCs w:val="24"/>
              </w:rPr>
              <w:t>媒</w:t>
            </w:r>
            <w:r w:rsidR="00E350BF">
              <w:rPr>
                <w:rFonts w:ascii="宋体" w:eastAsia="宋体" w:hAnsi="宋体" w:cs="宋体" w:hint="eastAsia"/>
                <w:spacing w:val="-3"/>
                <w:sz w:val="24"/>
                <w:szCs w:val="24"/>
              </w:rPr>
              <w:t>体</w:t>
            </w:r>
            <w:r w:rsidR="00E350BF">
              <w:rPr>
                <w:rFonts w:ascii="宋体" w:eastAsia="宋体" w:hAnsi="宋体" w:cs="宋体" w:hint="eastAsia"/>
                <w:sz w:val="24"/>
                <w:szCs w:val="24"/>
              </w:rPr>
              <w:t>采访</w:t>
            </w:r>
            <w:r w:rsidR="00E350BF">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0"/>
                  <w14:checkedState w14:val="0052" w14:font="Wingdings 2"/>
                  <w14:uncheckedState w14:val="2610" w14:font="MS Gothic"/>
                </w14:checkbox>
              </w:sdtPr>
              <w:sdtEndPr/>
              <w:sdtContent>
                <w:r w:rsidR="00E350BF">
                  <w:rPr>
                    <w:rFonts w:ascii="MS Gothic" w:eastAsia="MS Gothic" w:hAnsi="MS Gothic" w:cs="宋体" w:hint="eastAsia"/>
                    <w:sz w:val="24"/>
                    <w:szCs w:val="24"/>
                  </w:rPr>
                  <w:t>☐</w:t>
                </w:r>
              </w:sdtContent>
            </w:sdt>
            <w:r w:rsidR="00E350BF">
              <w:rPr>
                <w:rFonts w:ascii="宋体" w:eastAsia="宋体" w:hAnsi="宋体" w:cs="宋体" w:hint="eastAsia"/>
                <w:sz w:val="24"/>
                <w:szCs w:val="24"/>
              </w:rPr>
              <w:t>业</w:t>
            </w:r>
            <w:r w:rsidR="00E350BF">
              <w:rPr>
                <w:rFonts w:ascii="宋体" w:eastAsia="宋体" w:hAnsi="宋体" w:cs="宋体" w:hint="eastAsia"/>
                <w:spacing w:val="-3"/>
                <w:sz w:val="24"/>
                <w:szCs w:val="24"/>
              </w:rPr>
              <w:t>绩</w:t>
            </w:r>
            <w:r w:rsidR="00E350BF">
              <w:rPr>
                <w:rFonts w:ascii="宋体" w:eastAsia="宋体" w:hAnsi="宋体" w:cs="宋体" w:hint="eastAsia"/>
                <w:sz w:val="24"/>
                <w:szCs w:val="24"/>
              </w:rPr>
              <w:t>说</w:t>
            </w:r>
            <w:r w:rsidR="00E350BF">
              <w:rPr>
                <w:rFonts w:ascii="宋体" w:eastAsia="宋体" w:hAnsi="宋体" w:cs="宋体" w:hint="eastAsia"/>
                <w:spacing w:val="-3"/>
                <w:sz w:val="24"/>
                <w:szCs w:val="24"/>
              </w:rPr>
              <w:t>明</w:t>
            </w:r>
            <w:r w:rsidR="00E350BF">
              <w:rPr>
                <w:rFonts w:ascii="宋体" w:eastAsia="宋体" w:hAnsi="宋体" w:cs="宋体" w:hint="eastAsia"/>
                <w:sz w:val="24"/>
                <w:szCs w:val="24"/>
              </w:rPr>
              <w:t>会</w:t>
            </w:r>
          </w:p>
          <w:p w14:paraId="719DDB38" w14:textId="77777777" w:rsidR="00CB56B2" w:rsidRDefault="00CB56B2">
            <w:pPr>
              <w:pStyle w:val="TableParagraph"/>
              <w:spacing w:before="8"/>
              <w:rPr>
                <w:rFonts w:ascii="宋体" w:eastAsia="宋体" w:hAnsi="宋体" w:cs="宋体"/>
                <w:sz w:val="24"/>
                <w:szCs w:val="24"/>
              </w:rPr>
            </w:pPr>
          </w:p>
          <w:p w14:paraId="239D385B" w14:textId="77777777" w:rsidR="00CB56B2" w:rsidRDefault="00DC3BD0">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EndPr/>
              <w:sdtContent>
                <w:r w:rsidR="00E350BF">
                  <w:rPr>
                    <w:rFonts w:ascii="MS Gothic" w:eastAsia="MS Gothic" w:hAnsi="MS Gothic" w:cs="宋体" w:hint="eastAsia"/>
                    <w:sz w:val="24"/>
                    <w:szCs w:val="24"/>
                  </w:rPr>
                  <w:t>☐</w:t>
                </w:r>
              </w:sdtContent>
            </w:sdt>
            <w:r w:rsidR="00E350BF">
              <w:rPr>
                <w:rFonts w:ascii="宋体" w:eastAsia="宋体" w:hAnsi="宋体" w:cs="宋体" w:hint="eastAsia"/>
                <w:sz w:val="24"/>
                <w:szCs w:val="24"/>
              </w:rPr>
              <w:t>新</w:t>
            </w:r>
            <w:r w:rsidR="00E350BF">
              <w:rPr>
                <w:rFonts w:ascii="宋体" w:eastAsia="宋体" w:hAnsi="宋体" w:cs="宋体" w:hint="eastAsia"/>
                <w:spacing w:val="-3"/>
                <w:sz w:val="24"/>
                <w:szCs w:val="24"/>
              </w:rPr>
              <w:t>闻</w:t>
            </w:r>
            <w:r w:rsidR="00E350BF">
              <w:rPr>
                <w:rFonts w:ascii="宋体" w:eastAsia="宋体" w:hAnsi="宋体" w:cs="宋体" w:hint="eastAsia"/>
                <w:sz w:val="24"/>
                <w:szCs w:val="24"/>
              </w:rPr>
              <w:t>发</w:t>
            </w:r>
            <w:r w:rsidR="00E350BF">
              <w:rPr>
                <w:rFonts w:ascii="宋体" w:eastAsia="宋体" w:hAnsi="宋体" w:cs="宋体" w:hint="eastAsia"/>
                <w:spacing w:val="-3"/>
                <w:sz w:val="24"/>
                <w:szCs w:val="24"/>
              </w:rPr>
              <w:t>布</w:t>
            </w:r>
            <w:r w:rsidR="00E350BF">
              <w:rPr>
                <w:rFonts w:ascii="宋体" w:eastAsia="宋体" w:hAnsi="宋体" w:cs="宋体" w:hint="eastAsia"/>
                <w:sz w:val="24"/>
                <w:szCs w:val="24"/>
              </w:rPr>
              <w:t>会</w:t>
            </w:r>
            <w:r w:rsidR="00E350BF">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EndPr/>
              <w:sdtContent>
                <w:r w:rsidR="00E350BF">
                  <w:rPr>
                    <w:rFonts w:ascii="MS Gothic" w:eastAsia="MS Gothic" w:hAnsi="MS Gothic" w:cs="宋体" w:hint="eastAsia"/>
                    <w:sz w:val="24"/>
                    <w:szCs w:val="24"/>
                  </w:rPr>
                  <w:t>☐</w:t>
                </w:r>
              </w:sdtContent>
            </w:sdt>
            <w:r w:rsidR="00E350BF">
              <w:rPr>
                <w:rFonts w:ascii="宋体" w:eastAsia="宋体" w:hAnsi="宋体" w:cs="宋体" w:hint="eastAsia"/>
                <w:sz w:val="24"/>
                <w:szCs w:val="24"/>
              </w:rPr>
              <w:t>路</w:t>
            </w:r>
            <w:r w:rsidR="00E350BF">
              <w:rPr>
                <w:rFonts w:ascii="宋体" w:eastAsia="宋体" w:hAnsi="宋体" w:cs="宋体" w:hint="eastAsia"/>
                <w:spacing w:val="-3"/>
                <w:sz w:val="24"/>
                <w:szCs w:val="24"/>
              </w:rPr>
              <w:t>演</w:t>
            </w:r>
            <w:r w:rsidR="00E350BF">
              <w:rPr>
                <w:rFonts w:ascii="宋体" w:eastAsia="宋体" w:hAnsi="宋体" w:cs="宋体" w:hint="eastAsia"/>
                <w:sz w:val="24"/>
                <w:szCs w:val="24"/>
              </w:rPr>
              <w:t>活动</w:t>
            </w:r>
          </w:p>
          <w:p w14:paraId="15F9C0F4" w14:textId="77777777" w:rsidR="00CB56B2" w:rsidRDefault="00CB56B2">
            <w:pPr>
              <w:pStyle w:val="TableParagraph"/>
              <w:spacing w:before="8"/>
              <w:rPr>
                <w:rFonts w:ascii="宋体" w:eastAsia="宋体" w:hAnsi="宋体" w:cs="宋体"/>
                <w:sz w:val="24"/>
                <w:szCs w:val="24"/>
              </w:rPr>
            </w:pPr>
          </w:p>
          <w:p w14:paraId="0E9480B0" w14:textId="77777777" w:rsidR="00CB56B2" w:rsidRDefault="00DC3BD0">
            <w:pPr>
              <w:pStyle w:val="TableParagraph"/>
              <w:ind w:left="107"/>
              <w:rPr>
                <w:rFonts w:ascii="宋体" w:eastAsia="宋体" w:hAnsi="宋体" w:cs="宋体"/>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EndPr/>
              <w:sdtContent>
                <w:r w:rsidR="00E350BF">
                  <w:rPr>
                    <w:rFonts w:ascii="MS Gothic" w:eastAsia="MS Gothic" w:hAnsi="MS Gothic" w:cs="宋体" w:hint="eastAsia"/>
                    <w:sz w:val="24"/>
                    <w:szCs w:val="24"/>
                  </w:rPr>
                  <w:t>☐</w:t>
                </w:r>
              </w:sdtContent>
            </w:sdt>
            <w:r w:rsidR="00E350BF">
              <w:rPr>
                <w:rFonts w:ascii="宋体" w:eastAsia="宋体" w:hAnsi="宋体" w:cs="宋体" w:hint="eastAsia"/>
                <w:sz w:val="24"/>
                <w:szCs w:val="24"/>
              </w:rPr>
              <w:t xml:space="preserve">现场参观         </w:t>
            </w:r>
            <w:r w:rsidR="00E350BF">
              <w:rPr>
                <w:rFonts w:ascii="MS Mincho" w:eastAsia="MS Mincho" w:hAnsi="MS Mincho" w:cs="MS Mincho" w:hint="eastAsia"/>
                <w:sz w:val="24"/>
                <w:szCs w:val="24"/>
              </w:rPr>
              <w:t>☐</w:t>
            </w:r>
            <w:r w:rsidR="00E350BF">
              <w:rPr>
                <w:rFonts w:ascii="宋体" w:eastAsia="宋体" w:hAnsi="宋体" w:cs="宋体" w:hint="eastAsia"/>
                <w:sz w:val="24"/>
                <w:szCs w:val="24"/>
              </w:rPr>
              <w:t>其他</w:t>
            </w:r>
          </w:p>
          <w:p w14:paraId="0E9E8B6E" w14:textId="77777777" w:rsidR="00CB56B2" w:rsidRDefault="00CB56B2">
            <w:pPr>
              <w:spacing w:line="360" w:lineRule="auto"/>
              <w:rPr>
                <w:sz w:val="24"/>
                <w:szCs w:val="24"/>
              </w:rPr>
            </w:pPr>
          </w:p>
        </w:tc>
      </w:tr>
      <w:tr w:rsidR="00CB56B2" w14:paraId="46A84F0A" w14:textId="77777777">
        <w:trPr>
          <w:trHeight w:val="838"/>
        </w:trPr>
        <w:tc>
          <w:tcPr>
            <w:tcW w:w="1809" w:type="dxa"/>
            <w:shd w:val="clear" w:color="auto" w:fill="auto"/>
            <w:vAlign w:val="center"/>
          </w:tcPr>
          <w:p w14:paraId="20AE7946" w14:textId="77777777" w:rsidR="00CB56B2" w:rsidRDefault="00E350BF">
            <w:pPr>
              <w:rPr>
                <w:sz w:val="24"/>
                <w:szCs w:val="24"/>
              </w:rPr>
            </w:pPr>
            <w:r>
              <w:rPr>
                <w:rFonts w:hint="eastAsia"/>
                <w:sz w:val="24"/>
                <w:szCs w:val="24"/>
              </w:rPr>
              <w:t>参与单位</w:t>
            </w:r>
          </w:p>
        </w:tc>
        <w:tc>
          <w:tcPr>
            <w:tcW w:w="6908" w:type="dxa"/>
            <w:shd w:val="clear" w:color="auto" w:fill="auto"/>
            <w:vAlign w:val="center"/>
          </w:tcPr>
          <w:p w14:paraId="619DA243" w14:textId="77777777" w:rsidR="00CB56B2" w:rsidRDefault="00E350BF">
            <w:pPr>
              <w:rPr>
                <w:sz w:val="24"/>
                <w:szCs w:val="24"/>
              </w:rPr>
            </w:pPr>
            <w:proofErr w:type="gramStart"/>
            <w:r>
              <w:rPr>
                <w:rFonts w:ascii="宋体" w:hAnsi="宋体" w:cs="宋体" w:hint="eastAsia"/>
                <w:bCs/>
                <w:iCs/>
                <w:color w:val="000000"/>
                <w:sz w:val="24"/>
                <w:lang w:val="en-GB"/>
              </w:rPr>
              <w:t>承风金萍</w:t>
            </w:r>
            <w:proofErr w:type="gramEnd"/>
            <w:r>
              <w:rPr>
                <w:rFonts w:ascii="宋体" w:hAnsi="宋体" w:cs="宋体" w:hint="eastAsia"/>
                <w:bCs/>
                <w:iCs/>
                <w:color w:val="000000"/>
                <w:sz w:val="24"/>
                <w:lang w:val="en-GB"/>
              </w:rPr>
              <w:t>私募、华龙证券、东北证券、世纪证券、钵</w:t>
            </w:r>
            <w:proofErr w:type="gramStart"/>
            <w:r>
              <w:rPr>
                <w:rFonts w:ascii="宋体" w:hAnsi="宋体" w:cs="宋体" w:hint="eastAsia"/>
                <w:bCs/>
                <w:iCs/>
                <w:color w:val="000000"/>
                <w:sz w:val="24"/>
                <w:lang w:val="en-GB"/>
              </w:rPr>
              <w:t>钵</w:t>
            </w:r>
            <w:proofErr w:type="gramEnd"/>
            <w:r>
              <w:rPr>
                <w:rFonts w:ascii="宋体" w:hAnsi="宋体" w:cs="宋体" w:hint="eastAsia"/>
                <w:bCs/>
                <w:iCs/>
                <w:color w:val="000000"/>
                <w:sz w:val="24"/>
                <w:lang w:val="en-GB"/>
              </w:rPr>
              <w:t>资本、江南基金、九方智投、</w:t>
            </w:r>
            <w:proofErr w:type="gramStart"/>
            <w:r>
              <w:rPr>
                <w:rFonts w:ascii="宋体" w:hAnsi="宋体" w:cs="宋体" w:hint="eastAsia"/>
                <w:bCs/>
                <w:iCs/>
                <w:color w:val="000000"/>
                <w:sz w:val="24"/>
                <w:lang w:val="en-GB"/>
              </w:rPr>
              <w:t>共朗基金</w:t>
            </w:r>
            <w:proofErr w:type="gramEnd"/>
            <w:r>
              <w:rPr>
                <w:rFonts w:ascii="宋体" w:hAnsi="宋体" w:cs="宋体" w:hint="eastAsia"/>
                <w:bCs/>
                <w:iCs/>
                <w:color w:val="000000"/>
                <w:sz w:val="24"/>
                <w:lang w:val="en-GB"/>
              </w:rPr>
              <w:t>、乘舟投</w:t>
            </w:r>
            <w:r>
              <w:rPr>
                <w:rFonts w:ascii="宋体" w:hAnsi="宋体" w:cs="宋体" w:hint="eastAsia"/>
                <w:bCs/>
                <w:iCs/>
                <w:color w:val="000000" w:themeColor="text1"/>
                <w:sz w:val="24"/>
                <w:lang w:val="en-GB"/>
              </w:rPr>
              <w:t>资、</w:t>
            </w:r>
            <w:proofErr w:type="gramStart"/>
            <w:r>
              <w:rPr>
                <w:rFonts w:ascii="宋体" w:hAnsi="宋体" w:cs="宋体" w:hint="eastAsia"/>
                <w:bCs/>
                <w:iCs/>
                <w:color w:val="000000" w:themeColor="text1"/>
                <w:sz w:val="24"/>
                <w:lang w:val="en-GB"/>
              </w:rPr>
              <w:t>旷真律</w:t>
            </w:r>
            <w:proofErr w:type="gramEnd"/>
            <w:r>
              <w:rPr>
                <w:rFonts w:ascii="宋体" w:hAnsi="宋体" w:cs="宋体" w:hint="eastAsia"/>
                <w:bCs/>
                <w:iCs/>
                <w:color w:val="000000" w:themeColor="text1"/>
                <w:sz w:val="24"/>
                <w:lang w:val="en-GB"/>
              </w:rPr>
              <w:t>所、</w:t>
            </w:r>
            <w:proofErr w:type="gramStart"/>
            <w:r>
              <w:rPr>
                <w:rFonts w:ascii="宋体" w:hAnsi="宋体" w:cs="宋体" w:hint="eastAsia"/>
                <w:bCs/>
                <w:iCs/>
                <w:color w:val="000000" w:themeColor="text1"/>
                <w:sz w:val="24"/>
                <w:lang w:val="en-GB"/>
              </w:rPr>
              <w:t>圣熙资产</w:t>
            </w:r>
            <w:proofErr w:type="gramEnd"/>
          </w:p>
        </w:tc>
      </w:tr>
      <w:tr w:rsidR="00CB56B2" w14:paraId="347428BC" w14:textId="77777777">
        <w:trPr>
          <w:trHeight w:val="799"/>
        </w:trPr>
        <w:tc>
          <w:tcPr>
            <w:tcW w:w="1809" w:type="dxa"/>
            <w:shd w:val="clear" w:color="auto" w:fill="auto"/>
            <w:vAlign w:val="center"/>
          </w:tcPr>
          <w:p w14:paraId="313FF3AF" w14:textId="77777777" w:rsidR="00CB56B2" w:rsidRDefault="00E350BF">
            <w:pPr>
              <w:rPr>
                <w:sz w:val="24"/>
                <w:szCs w:val="24"/>
              </w:rPr>
            </w:pPr>
            <w:r>
              <w:rPr>
                <w:rFonts w:hint="eastAsia"/>
                <w:sz w:val="24"/>
                <w:szCs w:val="24"/>
              </w:rPr>
              <w:t>时间</w:t>
            </w:r>
          </w:p>
        </w:tc>
        <w:tc>
          <w:tcPr>
            <w:tcW w:w="6908" w:type="dxa"/>
            <w:shd w:val="clear" w:color="auto" w:fill="auto"/>
            <w:vAlign w:val="center"/>
          </w:tcPr>
          <w:p w14:paraId="4A16E991" w14:textId="77777777" w:rsidR="00CB56B2" w:rsidRDefault="00E350BF">
            <w:pPr>
              <w:rPr>
                <w:sz w:val="24"/>
                <w:szCs w:val="24"/>
              </w:rPr>
            </w:pPr>
            <w:r>
              <w:rPr>
                <w:rFonts w:ascii="宋体" w:hAnsi="宋体" w:cs="宋体" w:hint="eastAsia"/>
                <w:bCs/>
                <w:iCs/>
                <w:color w:val="000000"/>
                <w:sz w:val="24"/>
              </w:rPr>
              <w:t>2025年6月11日</w:t>
            </w:r>
          </w:p>
        </w:tc>
      </w:tr>
      <w:tr w:rsidR="00CB56B2" w14:paraId="062767DE" w14:textId="77777777">
        <w:trPr>
          <w:trHeight w:val="838"/>
        </w:trPr>
        <w:tc>
          <w:tcPr>
            <w:tcW w:w="1809" w:type="dxa"/>
            <w:shd w:val="clear" w:color="auto" w:fill="auto"/>
            <w:vAlign w:val="center"/>
          </w:tcPr>
          <w:p w14:paraId="1C66BBC8" w14:textId="77777777" w:rsidR="00CB56B2" w:rsidRDefault="00E350BF">
            <w:pPr>
              <w:rPr>
                <w:sz w:val="24"/>
                <w:szCs w:val="24"/>
              </w:rPr>
            </w:pPr>
            <w:r>
              <w:rPr>
                <w:rFonts w:hint="eastAsia"/>
                <w:sz w:val="24"/>
                <w:szCs w:val="24"/>
              </w:rPr>
              <w:t>地点</w:t>
            </w:r>
          </w:p>
        </w:tc>
        <w:tc>
          <w:tcPr>
            <w:tcW w:w="6908" w:type="dxa"/>
            <w:shd w:val="clear" w:color="auto" w:fill="auto"/>
            <w:vAlign w:val="center"/>
          </w:tcPr>
          <w:p w14:paraId="5C60FACB" w14:textId="77777777" w:rsidR="00CB56B2" w:rsidRDefault="00E350BF">
            <w:pPr>
              <w:rPr>
                <w:sz w:val="24"/>
                <w:szCs w:val="24"/>
              </w:rPr>
            </w:pPr>
            <w:r>
              <w:rPr>
                <w:rFonts w:hint="eastAsia"/>
                <w:sz w:val="24"/>
                <w:szCs w:val="24"/>
              </w:rPr>
              <w:t>长沙市学士街道茯苓路</w:t>
            </w:r>
            <w:r>
              <w:rPr>
                <w:rFonts w:hint="eastAsia"/>
                <w:sz w:val="24"/>
                <w:szCs w:val="24"/>
              </w:rPr>
              <w:t>26</w:t>
            </w:r>
            <w:r>
              <w:rPr>
                <w:rFonts w:hint="eastAsia"/>
                <w:sz w:val="24"/>
                <w:szCs w:val="24"/>
              </w:rPr>
              <w:t>号公司</w:t>
            </w:r>
            <w:r>
              <w:rPr>
                <w:rFonts w:hint="eastAsia"/>
                <w:sz w:val="24"/>
                <w:szCs w:val="24"/>
              </w:rPr>
              <w:t>319</w:t>
            </w:r>
            <w:r>
              <w:rPr>
                <w:rFonts w:hint="eastAsia"/>
                <w:sz w:val="24"/>
                <w:szCs w:val="24"/>
              </w:rPr>
              <w:t>会议室</w:t>
            </w:r>
          </w:p>
        </w:tc>
      </w:tr>
      <w:tr w:rsidR="00CB56B2" w14:paraId="05CD1E4C" w14:textId="77777777">
        <w:trPr>
          <w:trHeight w:val="838"/>
        </w:trPr>
        <w:tc>
          <w:tcPr>
            <w:tcW w:w="1809" w:type="dxa"/>
            <w:shd w:val="clear" w:color="auto" w:fill="auto"/>
            <w:vAlign w:val="center"/>
          </w:tcPr>
          <w:p w14:paraId="7B844281" w14:textId="77777777" w:rsidR="00CB56B2" w:rsidRDefault="00E350BF">
            <w:pPr>
              <w:rPr>
                <w:sz w:val="24"/>
                <w:szCs w:val="24"/>
              </w:rPr>
            </w:pPr>
            <w:r>
              <w:rPr>
                <w:rFonts w:hint="eastAsia"/>
                <w:sz w:val="24"/>
                <w:szCs w:val="24"/>
              </w:rPr>
              <w:t>公司接待人员</w:t>
            </w:r>
          </w:p>
        </w:tc>
        <w:tc>
          <w:tcPr>
            <w:tcW w:w="6908" w:type="dxa"/>
            <w:shd w:val="clear" w:color="auto" w:fill="auto"/>
            <w:vAlign w:val="center"/>
          </w:tcPr>
          <w:p w14:paraId="5769F702" w14:textId="67B9BF43" w:rsidR="00CB56B2" w:rsidRDefault="00B23FC8">
            <w:pPr>
              <w:spacing w:line="360" w:lineRule="auto"/>
              <w:rPr>
                <w:sz w:val="24"/>
                <w:szCs w:val="24"/>
              </w:rPr>
            </w:pPr>
            <w:r>
              <w:rPr>
                <w:rFonts w:ascii="宋体" w:hAnsi="宋体" w:cs="宋体" w:hint="eastAsia"/>
                <w:sz w:val="24"/>
                <w:szCs w:val="24"/>
              </w:rPr>
              <w:t>董事会秘书</w:t>
            </w:r>
            <w:r w:rsidR="00E350BF">
              <w:rPr>
                <w:rFonts w:ascii="宋体" w:hAnsi="宋体" w:cs="宋体" w:hint="eastAsia"/>
                <w:sz w:val="24"/>
                <w:szCs w:val="24"/>
              </w:rPr>
              <w:t>袁绘杰；证券事务代表</w:t>
            </w:r>
            <w:bookmarkStart w:id="0" w:name="_GoBack"/>
            <w:bookmarkEnd w:id="0"/>
            <w:r w:rsidR="00E350BF">
              <w:rPr>
                <w:rFonts w:ascii="宋体" w:hAnsi="宋体" w:cs="宋体" w:hint="eastAsia"/>
                <w:sz w:val="24"/>
                <w:szCs w:val="24"/>
              </w:rPr>
              <w:t>邹建强</w:t>
            </w:r>
          </w:p>
        </w:tc>
      </w:tr>
      <w:tr w:rsidR="00CB56B2" w14:paraId="0A6DEBD0" w14:textId="77777777">
        <w:trPr>
          <w:trHeight w:val="557"/>
        </w:trPr>
        <w:tc>
          <w:tcPr>
            <w:tcW w:w="1809" w:type="dxa"/>
            <w:shd w:val="clear" w:color="auto" w:fill="auto"/>
            <w:vAlign w:val="center"/>
          </w:tcPr>
          <w:p w14:paraId="78B4FD96" w14:textId="77777777" w:rsidR="00CB56B2" w:rsidRDefault="00E350BF">
            <w:pPr>
              <w:rPr>
                <w:sz w:val="24"/>
                <w:szCs w:val="24"/>
              </w:rPr>
            </w:pPr>
            <w:r>
              <w:rPr>
                <w:rFonts w:hint="eastAsia"/>
                <w:sz w:val="24"/>
                <w:szCs w:val="24"/>
              </w:rPr>
              <w:t>投资者关系活动主要内容介绍</w:t>
            </w:r>
          </w:p>
        </w:tc>
        <w:tc>
          <w:tcPr>
            <w:tcW w:w="6908" w:type="dxa"/>
            <w:shd w:val="clear" w:color="auto" w:fill="auto"/>
          </w:tcPr>
          <w:p w14:paraId="6DE86456" w14:textId="77777777" w:rsidR="00CB56B2" w:rsidRDefault="00E350BF" w:rsidP="00EC6630">
            <w:pPr>
              <w:autoSpaceDE w:val="0"/>
              <w:autoSpaceDN w:val="0"/>
              <w:adjustRightInd w:val="0"/>
              <w:snapToGrid w:val="0"/>
              <w:spacing w:beforeLines="50" w:before="156"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一、袁绘杰先生介绍公司基本情况及发展规划。</w:t>
            </w:r>
          </w:p>
          <w:p w14:paraId="473E04E6" w14:textId="77777777" w:rsidR="00CB56B2" w:rsidRDefault="00E350BF">
            <w:pPr>
              <w:autoSpaceDE w:val="0"/>
              <w:autoSpaceDN w:val="0"/>
              <w:adjustRightInd w:val="0"/>
              <w:snapToGrid w:val="0"/>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二、互动问答</w:t>
            </w:r>
          </w:p>
          <w:p w14:paraId="6C55C1B2" w14:textId="77777777" w:rsidR="00CB56B2" w:rsidRDefault="00E350BF">
            <w:pPr>
              <w:autoSpaceDE w:val="0"/>
              <w:autoSpaceDN w:val="0"/>
              <w:adjustRightInd w:val="0"/>
              <w:snapToGrid w:val="0"/>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1、公司所处的行业是一个怎么样的竞争格局，主要竞争对手有哪些？</w:t>
            </w:r>
          </w:p>
          <w:p w14:paraId="0F3FDAFC" w14:textId="77777777" w:rsidR="00CB56B2" w:rsidRDefault="00E350BF">
            <w:pPr>
              <w:autoSpaceDE w:val="0"/>
              <w:autoSpaceDN w:val="0"/>
              <w:adjustRightInd w:val="0"/>
              <w:snapToGrid w:val="0"/>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答：公司目前产品主要集中于检验科的尿液、粪便、生殖道分泌物、血液等常规检测领域，市场竞争较为充分。从产品线来看：尿液自动化检验分析产品的主要竞争对手有</w:t>
            </w:r>
            <w:proofErr w:type="gramStart"/>
            <w:r>
              <w:rPr>
                <w:rFonts w:asciiTheme="majorEastAsia" w:eastAsiaTheme="majorEastAsia" w:hAnsiTheme="majorEastAsia" w:hint="eastAsia"/>
                <w:bCs/>
                <w:sz w:val="24"/>
                <w:szCs w:val="24"/>
              </w:rPr>
              <w:t>迪</w:t>
            </w:r>
            <w:proofErr w:type="gramEnd"/>
            <w:r>
              <w:rPr>
                <w:rFonts w:asciiTheme="majorEastAsia" w:eastAsiaTheme="majorEastAsia" w:hAnsiTheme="majorEastAsia" w:hint="eastAsia"/>
                <w:bCs/>
                <w:sz w:val="24"/>
                <w:szCs w:val="24"/>
              </w:rPr>
              <w:t>瑞、迈瑞、优利特、希森美康等，其中形态学镜检产品这块，公司是技术的开创者和市场的引领者，市场份额行业领先。粪便自动化检验分析产品近年来才开始逐步在市场上出现，目前主要竞争对手有</w:t>
            </w:r>
            <w:proofErr w:type="gramStart"/>
            <w:r>
              <w:rPr>
                <w:rFonts w:asciiTheme="majorEastAsia" w:eastAsiaTheme="majorEastAsia" w:hAnsiTheme="majorEastAsia" w:hint="eastAsia"/>
                <w:bCs/>
                <w:sz w:val="24"/>
                <w:szCs w:val="24"/>
              </w:rPr>
              <w:t>沃文特、科域</w:t>
            </w:r>
            <w:proofErr w:type="gramEnd"/>
            <w:r>
              <w:rPr>
                <w:rFonts w:asciiTheme="majorEastAsia" w:eastAsiaTheme="majorEastAsia" w:hAnsiTheme="majorEastAsia" w:hint="eastAsia"/>
                <w:bCs/>
                <w:sz w:val="24"/>
                <w:szCs w:val="24"/>
              </w:rPr>
              <w:t>生物等。全自动血液检验分析产品是公司目前主推的新产品之</w:t>
            </w:r>
            <w:r>
              <w:rPr>
                <w:rFonts w:asciiTheme="majorEastAsia" w:eastAsiaTheme="majorEastAsia" w:hAnsiTheme="majorEastAsia" w:hint="eastAsia"/>
                <w:bCs/>
                <w:sz w:val="24"/>
                <w:szCs w:val="24"/>
              </w:rPr>
              <w:lastRenderedPageBreak/>
              <w:t>一，国内主要竞争对手是迈瑞医疗。</w:t>
            </w:r>
          </w:p>
          <w:p w14:paraId="109AA0B5"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Cs/>
                <w:sz w:val="24"/>
                <w:szCs w:val="24"/>
              </w:rPr>
              <w:t>2、</w:t>
            </w:r>
            <w:r>
              <w:rPr>
                <w:rFonts w:asciiTheme="majorEastAsia" w:eastAsiaTheme="majorEastAsia" w:hAnsiTheme="majorEastAsia" w:hint="eastAsia"/>
                <w:sz w:val="24"/>
                <w:szCs w:val="24"/>
              </w:rPr>
              <w:t>公司的核心技术来源于哪里？</w:t>
            </w:r>
          </w:p>
          <w:p w14:paraId="569D9611"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答：公司是最早将人工智能机器视觉技术应用于医学尿液标本形态学检验的企业，是临床标本有形成分医学显微镜检验自动化技术的开创者和市场的引领者，关键核心技术都是多年积累自主研发形成。公司创始人是技术领域出身，十分重视研发工作。公司研发团队目前有100余人，占员工总人数的20%左右，每年的研发投入占营业收入的比例都在10%以上。</w:t>
            </w:r>
          </w:p>
          <w:p w14:paraId="4788795B"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3、集采对公司影响大不大？</w:t>
            </w:r>
          </w:p>
          <w:p w14:paraId="44894120"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答：目前，“集中采购”政策主要针对药品及高值医用耗材及部分体外诊断试剂，公司产品主要集中于全自动尿液、粪便、生殖道分泌物等多系列医学检验仪器及配套试剂耗材，主要产品目前未</w:t>
            </w:r>
            <w:proofErr w:type="gramStart"/>
            <w:r>
              <w:rPr>
                <w:rFonts w:asciiTheme="majorEastAsia" w:eastAsiaTheme="majorEastAsia" w:hAnsiTheme="majorEastAsia" w:hint="eastAsia"/>
                <w:sz w:val="24"/>
                <w:szCs w:val="24"/>
              </w:rPr>
              <w:t>纳入国采和</w:t>
            </w:r>
            <w:proofErr w:type="gramEnd"/>
            <w:r>
              <w:rPr>
                <w:rFonts w:asciiTheme="majorEastAsia" w:eastAsiaTheme="majorEastAsia" w:hAnsiTheme="majorEastAsia" w:hint="eastAsia"/>
                <w:sz w:val="24"/>
                <w:szCs w:val="24"/>
              </w:rPr>
              <w:t>省级带量集采范围，未对公司经营造成不利影响。</w:t>
            </w:r>
          </w:p>
          <w:p w14:paraId="7382E86B"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4、公司民用产品包括哪些产品，目前发展情况怎么样？</w:t>
            </w:r>
          </w:p>
          <w:p w14:paraId="76B0ACD7"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答：前期公司终端客户集中于等级医院专业市场，近年来，公司开始重视民用消费级医疗市场，已推出女性健康、科学孕育、儿童腹泻、肿瘤早筛、胃肠疾病、泌尿系统疾病、糖尿病、健康</w:t>
            </w:r>
            <w:proofErr w:type="gramStart"/>
            <w:r>
              <w:rPr>
                <w:rFonts w:asciiTheme="majorEastAsia" w:eastAsiaTheme="majorEastAsia" w:hAnsiTheme="majorEastAsia" w:hint="eastAsia"/>
                <w:sz w:val="24"/>
                <w:szCs w:val="24"/>
              </w:rPr>
              <w:t>体测八大</w:t>
            </w:r>
            <w:proofErr w:type="gramEnd"/>
            <w:r>
              <w:rPr>
                <w:rFonts w:asciiTheme="majorEastAsia" w:eastAsiaTheme="majorEastAsia" w:hAnsiTheme="majorEastAsia" w:hint="eastAsia"/>
                <w:sz w:val="24"/>
                <w:szCs w:val="24"/>
              </w:rPr>
              <w:t>系列POCT产品，并已在部分电商平台和实体药房，诊所、村卫生室等实现销售。民用产品这块市场规模潜力巨大，公司相关业务已开始形成销售，未来是公司业务增长的重要方向。</w:t>
            </w:r>
          </w:p>
          <w:p w14:paraId="50F9F2B3"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5、人工智能技术在公司产品上的具体应用是？</w:t>
            </w:r>
          </w:p>
          <w:p w14:paraId="2F9AA2F5" w14:textId="209844CA" w:rsidR="00CB56B2" w:rsidRDefault="00EC6630">
            <w:pPr>
              <w:autoSpaceDE w:val="0"/>
              <w:autoSpaceDN w:val="0"/>
              <w:adjustRightInd w:val="0"/>
              <w:snapToGrid w:val="0"/>
              <w:spacing w:line="360" w:lineRule="auto"/>
              <w:rPr>
                <w:rFonts w:asciiTheme="majorEastAsia" w:eastAsiaTheme="majorEastAsia" w:hAnsiTheme="majorEastAsia"/>
                <w:sz w:val="24"/>
                <w:szCs w:val="24"/>
              </w:rPr>
            </w:pPr>
            <w:r w:rsidRPr="00EC6630">
              <w:rPr>
                <w:rFonts w:asciiTheme="majorEastAsia" w:eastAsiaTheme="majorEastAsia" w:hAnsiTheme="majorEastAsia" w:hint="eastAsia"/>
                <w:sz w:val="24"/>
                <w:szCs w:val="24"/>
              </w:rPr>
              <w:t>答：</w:t>
            </w:r>
            <w:r w:rsidR="00E350BF">
              <w:rPr>
                <w:rFonts w:asciiTheme="majorEastAsia" w:eastAsiaTheme="majorEastAsia" w:hAnsiTheme="majorEastAsia" w:hint="eastAsia"/>
                <w:sz w:val="24"/>
                <w:szCs w:val="24"/>
              </w:rPr>
              <w:t>公司推出的各系列检验仪器产品通过应用机器视觉与深度学习、神经网络等人工智能技术实现了标本中显微镜有形成分分析的全自动化智能化。公司将人工智能“机器视觉技术”应用到医疗卫生机构临床标本的形态学检验中，填补了医学显微镜形态学检验自动化领域的技术空白，彻底改变了临床医学显微镜检验主要依赖人工镜检的历史。经过25年的积累，公司拥有了海量的临床标本训练数据库，通过不断升级迭代AI识别算法，有效提高了相关临床标本的检验准确率和检验效率。</w:t>
            </w:r>
          </w:p>
          <w:p w14:paraId="19402E13"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6、公司未来有考虑做一些兼并收购项目吗？</w:t>
            </w:r>
          </w:p>
          <w:p w14:paraId="23F9CD06"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答：根据公司《2024年年度报告》披露，未来我们会根据公司中期发展规划计划和年度经营计划，在董事会领导下积极开展新项目新技术新产品的引进、探索对外投资并购等外延式工作，为公司的发展提供新动能。目前未有应披露且未披露的相关进展。</w:t>
            </w:r>
          </w:p>
          <w:p w14:paraId="7529C1F3"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三、实地参观</w:t>
            </w:r>
          </w:p>
          <w:p w14:paraId="3F9F9E1A" w14:textId="77777777" w:rsidR="00CB56B2" w:rsidRDefault="00E350BF">
            <w:pPr>
              <w:autoSpaceDE w:val="0"/>
              <w:autoSpaceDN w:val="0"/>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会后公司带领各调研机构实地走访参观了爱威科技生产研发场地。</w:t>
            </w:r>
          </w:p>
        </w:tc>
      </w:tr>
      <w:tr w:rsidR="00CB56B2" w14:paraId="7C616E07" w14:textId="77777777">
        <w:trPr>
          <w:trHeight w:val="557"/>
        </w:trPr>
        <w:tc>
          <w:tcPr>
            <w:tcW w:w="1809" w:type="dxa"/>
            <w:shd w:val="clear" w:color="auto" w:fill="auto"/>
            <w:vAlign w:val="center"/>
          </w:tcPr>
          <w:p w14:paraId="7D2EE368" w14:textId="77777777" w:rsidR="00CB56B2" w:rsidRDefault="00E350BF">
            <w:pPr>
              <w:rPr>
                <w:sz w:val="24"/>
                <w:szCs w:val="24"/>
              </w:rPr>
            </w:pPr>
            <w:r>
              <w:rPr>
                <w:rFonts w:hint="eastAsia"/>
                <w:sz w:val="24"/>
                <w:szCs w:val="24"/>
              </w:rPr>
              <w:lastRenderedPageBreak/>
              <w:t>附件清单</w:t>
            </w:r>
          </w:p>
        </w:tc>
        <w:tc>
          <w:tcPr>
            <w:tcW w:w="6908" w:type="dxa"/>
            <w:shd w:val="clear" w:color="auto" w:fill="auto"/>
            <w:vAlign w:val="center"/>
          </w:tcPr>
          <w:p w14:paraId="24B1D04F" w14:textId="77777777" w:rsidR="00CB56B2" w:rsidRDefault="00E350BF">
            <w:pPr>
              <w:widowControl/>
              <w:spacing w:after="120" w:line="360" w:lineRule="auto"/>
              <w:rPr>
                <w:sz w:val="24"/>
                <w:szCs w:val="24"/>
              </w:rPr>
            </w:pPr>
            <w:r>
              <w:rPr>
                <w:rFonts w:hint="eastAsia"/>
                <w:sz w:val="24"/>
                <w:szCs w:val="24"/>
              </w:rPr>
              <w:t>无</w:t>
            </w:r>
          </w:p>
        </w:tc>
      </w:tr>
    </w:tbl>
    <w:p w14:paraId="4CF6461A" w14:textId="77777777" w:rsidR="00CB56B2" w:rsidRDefault="00CB56B2"/>
    <w:p w14:paraId="078F1FA7" w14:textId="77777777" w:rsidR="00CB56B2" w:rsidRDefault="00CB56B2"/>
    <w:sectPr w:rsidR="00CB56B2">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3ECF6" w14:textId="77777777" w:rsidR="00DC3BD0" w:rsidRDefault="00DC3BD0">
      <w:r>
        <w:separator/>
      </w:r>
    </w:p>
  </w:endnote>
  <w:endnote w:type="continuationSeparator" w:id="0">
    <w:p w14:paraId="5CCC266F" w14:textId="77777777" w:rsidR="00DC3BD0" w:rsidRDefault="00DC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4DD71" w14:textId="77777777" w:rsidR="00DC3BD0" w:rsidRDefault="00DC3BD0">
      <w:r>
        <w:separator/>
      </w:r>
    </w:p>
  </w:footnote>
  <w:footnote w:type="continuationSeparator" w:id="0">
    <w:p w14:paraId="3CDB4475" w14:textId="77777777" w:rsidR="00DC3BD0" w:rsidRDefault="00DC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6077E" w14:textId="77777777" w:rsidR="00CB56B2" w:rsidRDefault="00E350BF">
    <w:pPr>
      <w:pStyle w:val="a5"/>
      <w:tabs>
        <w:tab w:val="clear" w:pos="4153"/>
      </w:tabs>
      <w:jc w:val="right"/>
    </w:pPr>
    <w:r>
      <w:rPr>
        <w:rFonts w:hint="eastAsia"/>
      </w:rPr>
      <w:t>爱威科技股份有限公司投资者关系活动记录表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A14EA"/>
    <w:rsid w:val="00030CF1"/>
    <w:rsid w:val="000A14EA"/>
    <w:rsid w:val="000C0F4F"/>
    <w:rsid w:val="000D63C9"/>
    <w:rsid w:val="00286A88"/>
    <w:rsid w:val="002B7C62"/>
    <w:rsid w:val="002C6B9B"/>
    <w:rsid w:val="003677AB"/>
    <w:rsid w:val="00784AC8"/>
    <w:rsid w:val="008E68AF"/>
    <w:rsid w:val="00940CA1"/>
    <w:rsid w:val="00981501"/>
    <w:rsid w:val="009979C2"/>
    <w:rsid w:val="009A3C90"/>
    <w:rsid w:val="009B5285"/>
    <w:rsid w:val="00B23FC8"/>
    <w:rsid w:val="00B3767A"/>
    <w:rsid w:val="00B611E6"/>
    <w:rsid w:val="00C0723E"/>
    <w:rsid w:val="00CB56B2"/>
    <w:rsid w:val="00D652EA"/>
    <w:rsid w:val="00D97A07"/>
    <w:rsid w:val="00DC3BD0"/>
    <w:rsid w:val="00E12B51"/>
    <w:rsid w:val="00E30159"/>
    <w:rsid w:val="00E350BF"/>
    <w:rsid w:val="00EC6630"/>
    <w:rsid w:val="00EE745A"/>
    <w:rsid w:val="01AC5842"/>
    <w:rsid w:val="01B12E58"/>
    <w:rsid w:val="076745CB"/>
    <w:rsid w:val="0E5D5310"/>
    <w:rsid w:val="13540C23"/>
    <w:rsid w:val="14CE07B2"/>
    <w:rsid w:val="1CB2496B"/>
    <w:rsid w:val="1CBA4E5F"/>
    <w:rsid w:val="21E7266C"/>
    <w:rsid w:val="261E404D"/>
    <w:rsid w:val="2E1662A0"/>
    <w:rsid w:val="2F5701F9"/>
    <w:rsid w:val="2F6B3D97"/>
    <w:rsid w:val="3257645C"/>
    <w:rsid w:val="39BA7DF4"/>
    <w:rsid w:val="3B722971"/>
    <w:rsid w:val="3F2033F2"/>
    <w:rsid w:val="41BB0A91"/>
    <w:rsid w:val="472901B7"/>
    <w:rsid w:val="4D461BA0"/>
    <w:rsid w:val="51330760"/>
    <w:rsid w:val="51D42C95"/>
    <w:rsid w:val="51D51818"/>
    <w:rsid w:val="54513563"/>
    <w:rsid w:val="5DA66EC0"/>
    <w:rsid w:val="5ED56325"/>
    <w:rsid w:val="606E61E9"/>
    <w:rsid w:val="61B272B6"/>
    <w:rsid w:val="61B42C51"/>
    <w:rsid w:val="62DC368C"/>
    <w:rsid w:val="63365E8E"/>
    <w:rsid w:val="670E1BEF"/>
    <w:rsid w:val="698931BC"/>
    <w:rsid w:val="6DFD4599"/>
    <w:rsid w:val="6F806C87"/>
    <w:rsid w:val="77921D7B"/>
    <w:rsid w:val="7C3155D9"/>
    <w:rsid w:val="7E7A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qFormat/>
    <w:rPr>
      <w:color w:val="0563C1"/>
      <w:u w:val="single"/>
    </w:rPr>
  </w:style>
  <w:style w:type="paragraph" w:customStyle="1" w:styleId="Style6">
    <w:name w:val="_Style 6"/>
    <w:basedOn w:val="a"/>
    <w:uiPriority w:val="34"/>
    <w:qFormat/>
    <w:pPr>
      <w:ind w:firstLineChars="200" w:firstLine="420"/>
    </w:pPr>
  </w:style>
  <w:style w:type="character" w:customStyle="1" w:styleId="Char0">
    <w:name w:val="页脚 Char"/>
    <w:basedOn w:val="a0"/>
    <w:link w:val="a4"/>
    <w:qFormat/>
    <w:rPr>
      <w:kern w:val="2"/>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qFormat/>
    <w:rPr>
      <w:color w:val="0563C1"/>
      <w:u w:val="single"/>
    </w:rPr>
  </w:style>
  <w:style w:type="paragraph" w:customStyle="1" w:styleId="Style6">
    <w:name w:val="_Style 6"/>
    <w:basedOn w:val="a"/>
    <w:uiPriority w:val="34"/>
    <w:qFormat/>
    <w:pPr>
      <w:ind w:firstLineChars="200" w:firstLine="420"/>
    </w:pPr>
  </w:style>
  <w:style w:type="character" w:customStyle="1" w:styleId="Char0">
    <w:name w:val="页脚 Char"/>
    <w:basedOn w:val="a0"/>
    <w:link w:val="a4"/>
    <w:qFormat/>
    <w:rPr>
      <w:kern w:val="2"/>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Pages>
  <Words>225</Words>
  <Characters>1289</Characters>
  <Application>Microsoft Office Word</Application>
  <DocSecurity>0</DocSecurity>
  <Lines>10</Lines>
  <Paragraphs>3</Paragraphs>
  <ScaleCrop>false</ScaleCrop>
  <Company>Microsoft</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12</cp:revision>
  <dcterms:created xsi:type="dcterms:W3CDTF">2025-06-09T02:31:00Z</dcterms:created>
  <dcterms:modified xsi:type="dcterms:W3CDTF">2025-06-12T07:02:00Z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209E8F5F19474D9B86DA58D8A53133EF</vt:lpwstr>
  </property>
  <property fmtid="{D5CDD505-2E9C-101B-9397-08002B2CF9AE}" pid="4" name="KSOTemplateDocerSaveRecord">
    <vt:lpwstr>eyJoZGlkIjoiMDI4NTY0MDQxZTg5NzI2ZDNiN2Y1MzI3Yjc2OWJiYTQiLCJ1c2VySWQiOiI0MjU1NjcxNDEifQ==</vt:lpwstr>
  </property>
</Properties>
</file>