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EF1CB" w14:textId="77777777" w:rsidR="00656431" w:rsidRDefault="00B03F31">
      <w:pPr>
        <w:ind w:firstLineChars="200" w:firstLine="562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福建顶点软件股份有限公司</w:t>
      </w:r>
    </w:p>
    <w:p w14:paraId="5E2EC7B8" w14:textId="77777777" w:rsidR="00656431" w:rsidRDefault="00B03F31">
      <w:pPr>
        <w:ind w:firstLineChars="200" w:firstLine="562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投资者关系活动记录表</w:t>
      </w:r>
    </w:p>
    <w:p w14:paraId="7018A880" w14:textId="4A073EE2" w:rsidR="00656431" w:rsidRDefault="00B03F31" w:rsidP="00ED63F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证券简称：顶点软件       证券代码：603383     编号</w:t>
      </w:r>
      <w:r w:rsidRPr="00D757C4">
        <w:rPr>
          <w:rFonts w:asciiTheme="minorEastAsia" w:hAnsiTheme="minorEastAsia" w:hint="eastAsia"/>
          <w:sz w:val="28"/>
          <w:szCs w:val="28"/>
        </w:rPr>
        <w:t>：20</w:t>
      </w:r>
      <w:r w:rsidRPr="00D757C4">
        <w:rPr>
          <w:rFonts w:asciiTheme="minorEastAsia" w:hAnsiTheme="minorEastAsia"/>
          <w:sz w:val="28"/>
          <w:szCs w:val="28"/>
        </w:rPr>
        <w:t>2</w:t>
      </w:r>
      <w:r w:rsidR="004B66E1" w:rsidRPr="00D757C4">
        <w:rPr>
          <w:rFonts w:asciiTheme="minorEastAsia" w:hAnsiTheme="minorEastAsia" w:hint="eastAsia"/>
          <w:sz w:val="28"/>
          <w:szCs w:val="28"/>
        </w:rPr>
        <w:t>5</w:t>
      </w:r>
      <w:r w:rsidRPr="00D757C4">
        <w:rPr>
          <w:rFonts w:asciiTheme="minorEastAsia" w:hAnsiTheme="minorEastAsia" w:hint="eastAsia"/>
          <w:sz w:val="28"/>
          <w:szCs w:val="28"/>
        </w:rPr>
        <w:t>-</w:t>
      </w:r>
      <w:r w:rsidRPr="00D757C4">
        <w:rPr>
          <w:rFonts w:asciiTheme="minorEastAsia" w:hAnsiTheme="minorEastAsia"/>
          <w:sz w:val="28"/>
          <w:szCs w:val="28"/>
        </w:rPr>
        <w:t>0</w:t>
      </w:r>
      <w:r w:rsidR="00A215D8" w:rsidRPr="00D757C4">
        <w:rPr>
          <w:rFonts w:asciiTheme="minorEastAsia" w:hAnsiTheme="minorEastAsia"/>
          <w:sz w:val="28"/>
          <w:szCs w:val="28"/>
        </w:rPr>
        <w:t>0</w:t>
      </w:r>
      <w:r w:rsidR="001D3BEF">
        <w:rPr>
          <w:rFonts w:asciiTheme="minorEastAsia" w:hAnsiTheme="minorEastAsia" w:hint="eastAsia"/>
          <w:sz w:val="28"/>
          <w:szCs w:val="28"/>
        </w:rPr>
        <w:t>5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656431" w14:paraId="27660C63" w14:textId="77777777" w:rsidTr="002E7DA8">
        <w:trPr>
          <w:trHeight w:val="624"/>
        </w:trPr>
        <w:tc>
          <w:tcPr>
            <w:tcW w:w="1696" w:type="dxa"/>
            <w:vMerge w:val="restart"/>
            <w:noWrap/>
            <w:vAlign w:val="center"/>
          </w:tcPr>
          <w:p w14:paraId="7D051B20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投资者关系活动类别</w:t>
            </w:r>
          </w:p>
        </w:tc>
        <w:tc>
          <w:tcPr>
            <w:tcW w:w="7088" w:type="dxa"/>
            <w:vMerge w:val="restart"/>
          </w:tcPr>
          <w:p w14:paraId="47EE98BB" w14:textId="7B2EEBD9" w:rsidR="00656431" w:rsidRDefault="00B03F31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sym w:font="Wingdings 2" w:char="F052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特定对象调研 </w:t>
            </w:r>
            <w:r w:rsidR="00ED7938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分析师会议 □媒体采访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br/>
            </w:r>
            <w:r w:rsidR="00560690" w:rsidRPr="00560690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业绩说明会 □新闻发布会 □路演活动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br/>
            </w:r>
            <w:bookmarkStart w:id="0" w:name="OLE_LINK1"/>
            <w:r w:rsidR="0074008C" w:rsidRPr="0074008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现场参观 </w:t>
            </w:r>
            <w:r w:rsidR="001D3BEF" w:rsidRPr="0074008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其他</w:t>
            </w:r>
            <w:r w:rsidR="002E7DA8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="001D3BEF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656431" w14:paraId="48A0C3A6" w14:textId="77777777" w:rsidTr="002E7DA8">
        <w:trPr>
          <w:trHeight w:val="624"/>
        </w:trPr>
        <w:tc>
          <w:tcPr>
            <w:tcW w:w="1696" w:type="dxa"/>
            <w:vMerge/>
            <w:vAlign w:val="center"/>
          </w:tcPr>
          <w:p w14:paraId="10F5EC43" w14:textId="77777777" w:rsidR="00656431" w:rsidRDefault="00656431">
            <w:pPr>
              <w:ind w:firstLineChars="200" w:firstLine="560"/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14:paraId="457585F4" w14:textId="77777777" w:rsidR="00656431" w:rsidRDefault="00656431">
            <w:pPr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56431" w14:paraId="05A8231C" w14:textId="77777777" w:rsidTr="002E7DA8">
        <w:trPr>
          <w:trHeight w:val="624"/>
        </w:trPr>
        <w:tc>
          <w:tcPr>
            <w:tcW w:w="1696" w:type="dxa"/>
            <w:vMerge/>
            <w:vAlign w:val="center"/>
          </w:tcPr>
          <w:p w14:paraId="5A7E8142" w14:textId="77777777" w:rsidR="00656431" w:rsidRDefault="00656431">
            <w:pPr>
              <w:ind w:firstLineChars="200" w:firstLine="560"/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14:paraId="4231A588" w14:textId="77777777" w:rsidR="00656431" w:rsidRDefault="00656431">
            <w:pPr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56431" w14:paraId="276AD6F5" w14:textId="77777777" w:rsidTr="002E7DA8">
        <w:trPr>
          <w:trHeight w:val="557"/>
        </w:trPr>
        <w:tc>
          <w:tcPr>
            <w:tcW w:w="1696" w:type="dxa"/>
            <w:noWrap/>
            <w:vAlign w:val="center"/>
          </w:tcPr>
          <w:p w14:paraId="1E578E57" w14:textId="77777777" w:rsidR="00656431" w:rsidRDefault="006564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</w:p>
          <w:p w14:paraId="2E961818" w14:textId="76962D50" w:rsidR="00656431" w:rsidRDefault="00B03F31" w:rsidP="00AE5713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参与</w:t>
            </w:r>
            <w:r w:rsidR="00862D67">
              <w:rPr>
                <w:rFonts w:asciiTheme="minorEastAsia" w:hAnsiTheme="minorEastAsia" w:hint="eastAsia"/>
                <w:bCs/>
                <w:sz w:val="28"/>
                <w:szCs w:val="28"/>
              </w:rPr>
              <w:t>时间</w:t>
            </w:r>
            <w:r w:rsidR="004372B7">
              <w:rPr>
                <w:rFonts w:asciiTheme="minorEastAsia" w:hAnsiTheme="minorEastAsia" w:hint="eastAsia"/>
                <w:bCs/>
                <w:sz w:val="28"/>
                <w:szCs w:val="28"/>
              </w:rPr>
              <w:t>和</w:t>
            </w:r>
            <w:r w:rsidR="00862D67">
              <w:rPr>
                <w:rFonts w:asciiTheme="minorEastAsia" w:hAnsiTheme="minorEastAsia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7088" w:type="dxa"/>
            <w:noWrap/>
          </w:tcPr>
          <w:p w14:paraId="1CF9564B" w14:textId="0B3F0319" w:rsidR="00D2153A" w:rsidRDefault="000E020E" w:rsidP="00546BCA">
            <w:pP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bookmarkStart w:id="1" w:name="_Hlk91083538"/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2025年</w:t>
            </w:r>
            <w:r w:rsidR="001D3BEF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6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月</w:t>
            </w:r>
            <w:r w:rsidR="001D3BEF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5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日     现场会议</w:t>
            </w:r>
          </w:p>
          <w:p w14:paraId="4467DFB2" w14:textId="28C85FF6" w:rsidR="00B002D6" w:rsidRDefault="005C471C" w:rsidP="00B002D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西南证券</w:t>
            </w:r>
            <w:r w:rsidR="00B002D6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王湘杰、</w:t>
            </w:r>
            <w:r w:rsidR="00B7455E" w:rsidRPr="00B7455E">
              <w:rPr>
                <w:rFonts w:hint="eastAsia"/>
                <w:sz w:val="24"/>
                <w:szCs w:val="24"/>
              </w:rPr>
              <w:t>郑龑</w:t>
            </w:r>
          </w:p>
          <w:p w14:paraId="14B3A9BC" w14:textId="0B06572E" w:rsidR="00E520E5" w:rsidRDefault="005C471C" w:rsidP="00E520E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长城基金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唐然、陈子扬</w:t>
            </w:r>
            <w:r w:rsidR="00F9428E">
              <w:rPr>
                <w:rFonts w:hint="eastAsia"/>
                <w:sz w:val="24"/>
                <w:szCs w:val="24"/>
              </w:rPr>
              <w:t>、翁煜平</w:t>
            </w:r>
          </w:p>
          <w:p w14:paraId="1898AE61" w14:textId="46521855" w:rsidR="00F9428E" w:rsidRDefault="00F9428E" w:rsidP="00E520E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中邮基金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周楠、王瑶、陈子龙、</w:t>
            </w:r>
            <w:r w:rsidRPr="00B7455E">
              <w:rPr>
                <w:rFonts w:hint="eastAsia"/>
                <w:sz w:val="24"/>
                <w:szCs w:val="24"/>
              </w:rPr>
              <w:t>李沐曦</w:t>
            </w:r>
          </w:p>
          <w:p w14:paraId="5EC17D7E" w14:textId="77777777" w:rsidR="0014721A" w:rsidRPr="00E520E5" w:rsidRDefault="0014721A" w:rsidP="00E520E5">
            <w:pPr>
              <w:ind w:firstLineChars="200" w:firstLine="480"/>
              <w:rPr>
                <w:sz w:val="24"/>
                <w:szCs w:val="24"/>
              </w:rPr>
            </w:pPr>
          </w:p>
          <w:p w14:paraId="7215FDF2" w14:textId="4F33A51D" w:rsidR="00691239" w:rsidRDefault="004B66E1" w:rsidP="00691239">
            <w:pP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2025</w:t>
            </w:r>
            <w:r w:rsidR="00EB7589" w:rsidRPr="00EB75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年</w:t>
            </w:r>
            <w:r w:rsidR="001D3BEF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6</w:t>
            </w:r>
            <w:r w:rsidR="00EB7589" w:rsidRPr="00EB75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月</w:t>
            </w:r>
            <w:r w:rsidR="001D3BEF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6</w:t>
            </w:r>
            <w:r w:rsidR="00EB7589" w:rsidRPr="00EB75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日</w:t>
            </w:r>
            <w:r w:rsidR="00EB75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</w:t>
            </w:r>
            <w:r w:rsidR="00EB7589">
              <w:rPr>
                <w:rFonts w:asciiTheme="minorEastAsia" w:hAnsiTheme="minorEastAsia"/>
                <w:b/>
                <w:bCs/>
                <w:sz w:val="28"/>
                <w:szCs w:val="28"/>
              </w:rPr>
              <w:t xml:space="preserve">   </w:t>
            </w:r>
            <w:r w:rsidR="00DE212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现场会议</w:t>
            </w:r>
          </w:p>
          <w:p w14:paraId="6091FF78" w14:textId="1931757B" w:rsidR="00131816" w:rsidRDefault="00F9428E" w:rsidP="00F9428E">
            <w:pPr>
              <w:ind w:firstLineChars="200" w:firstLine="480"/>
              <w:rPr>
                <w:sz w:val="24"/>
                <w:szCs w:val="24"/>
              </w:rPr>
            </w:pPr>
            <w:r w:rsidRPr="00F9428E">
              <w:rPr>
                <w:rFonts w:hint="eastAsia"/>
                <w:sz w:val="24"/>
                <w:szCs w:val="24"/>
              </w:rPr>
              <w:t>东北证券</w:t>
            </w:r>
            <w:r w:rsidRPr="00F9428E">
              <w:rPr>
                <w:rFonts w:hint="eastAsia"/>
                <w:sz w:val="24"/>
                <w:szCs w:val="24"/>
              </w:rPr>
              <w:t xml:space="preserve"> </w:t>
            </w:r>
            <w:r w:rsidR="00FD2680">
              <w:rPr>
                <w:rFonts w:hint="eastAsia"/>
                <w:sz w:val="24"/>
                <w:szCs w:val="24"/>
              </w:rPr>
              <w:t xml:space="preserve">    </w:t>
            </w:r>
            <w:r w:rsidRPr="00F9428E">
              <w:rPr>
                <w:rFonts w:hint="eastAsia"/>
                <w:sz w:val="24"/>
                <w:szCs w:val="24"/>
              </w:rPr>
              <w:t>吴源恒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F9428E">
              <w:rPr>
                <w:rFonts w:hint="eastAsia"/>
                <w:sz w:val="24"/>
                <w:szCs w:val="24"/>
              </w:rPr>
              <w:t>唐凯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F9428E">
              <w:rPr>
                <w:rFonts w:hint="eastAsia"/>
                <w:sz w:val="24"/>
                <w:szCs w:val="24"/>
              </w:rPr>
              <w:t>邱杨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F9428E">
              <w:rPr>
                <w:rFonts w:hint="eastAsia"/>
                <w:sz w:val="24"/>
                <w:szCs w:val="24"/>
              </w:rPr>
              <w:t>李</w:t>
            </w:r>
            <w:proofErr w:type="gramStart"/>
            <w:r w:rsidRPr="00F9428E">
              <w:rPr>
                <w:rFonts w:hint="eastAsia"/>
                <w:sz w:val="24"/>
                <w:szCs w:val="24"/>
              </w:rPr>
              <w:t>劼</w:t>
            </w:r>
            <w:proofErr w:type="gramEnd"/>
            <w:r>
              <w:rPr>
                <w:rFonts w:hint="eastAsia"/>
                <w:sz w:val="24"/>
                <w:szCs w:val="24"/>
              </w:rPr>
              <w:t>、</w:t>
            </w:r>
            <w:proofErr w:type="gramStart"/>
            <w:r w:rsidRPr="00F9428E">
              <w:rPr>
                <w:rFonts w:hint="eastAsia"/>
                <w:sz w:val="24"/>
                <w:szCs w:val="24"/>
              </w:rPr>
              <w:t>肖诺诗</w:t>
            </w:r>
            <w:proofErr w:type="gramEnd"/>
          </w:p>
          <w:p w14:paraId="54A0B4EF" w14:textId="77777777" w:rsidR="00984985" w:rsidRDefault="00984985" w:rsidP="00B002D6">
            <w:pPr>
              <w:ind w:firstLineChars="200" w:firstLine="480"/>
              <w:rPr>
                <w:sz w:val="24"/>
                <w:szCs w:val="24"/>
              </w:rPr>
            </w:pPr>
          </w:p>
          <w:p w14:paraId="64228411" w14:textId="44566662" w:rsidR="00B002D6" w:rsidRDefault="00984985" w:rsidP="006E787A">
            <w:pP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 w:rsidRPr="00CF2855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2025年</w:t>
            </w:r>
            <w:r w:rsidR="001D3BEF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6</w:t>
            </w:r>
            <w:r w:rsidRPr="00CF2855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月</w:t>
            </w:r>
            <w:r w:rsidR="001D3BEF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10</w:t>
            </w:r>
            <w:r w:rsidRPr="00CF2855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日     现场会议</w:t>
            </w:r>
          </w:p>
          <w:p w14:paraId="15EB5E98" w14:textId="6357FE76" w:rsidR="005E2091" w:rsidRDefault="0014721A" w:rsidP="00CF285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  <w:proofErr w:type="gramStart"/>
            <w:r>
              <w:rPr>
                <w:rFonts w:hint="eastAsia"/>
                <w:sz w:val="24"/>
                <w:szCs w:val="24"/>
              </w:rPr>
              <w:t>邮证券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 w:rsidR="00FD2680">
              <w:rPr>
                <w:rFonts w:hint="eastAsia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  <w:szCs w:val="24"/>
              </w:rPr>
              <w:t>丁子</w:t>
            </w:r>
            <w:proofErr w:type="gramEnd"/>
            <w:r>
              <w:rPr>
                <w:rFonts w:hint="eastAsia"/>
                <w:sz w:val="24"/>
                <w:szCs w:val="24"/>
              </w:rPr>
              <w:t>惠</w:t>
            </w:r>
          </w:p>
          <w:p w14:paraId="43E70BBF" w14:textId="06E7EBEA" w:rsidR="0014721A" w:rsidRDefault="0014721A" w:rsidP="00CF285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中信证券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FD2680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潘儒琛</w:t>
            </w:r>
          </w:p>
          <w:p w14:paraId="2DEF0937" w14:textId="77777777" w:rsidR="0014721A" w:rsidRPr="00CF2855" w:rsidRDefault="0014721A" w:rsidP="00CF2855">
            <w:pPr>
              <w:ind w:firstLineChars="200" w:firstLine="480"/>
              <w:rPr>
                <w:sz w:val="24"/>
                <w:szCs w:val="24"/>
              </w:rPr>
            </w:pPr>
          </w:p>
          <w:p w14:paraId="3DC7C95C" w14:textId="1FD53D89" w:rsidR="001D3BEF" w:rsidRDefault="001D3BEF" w:rsidP="001D3BEF">
            <w:pP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 w:rsidRPr="00DE64B6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2025年6月11日     现场会议</w:t>
            </w:r>
          </w:p>
          <w:p w14:paraId="316A87B5" w14:textId="66F05EDD" w:rsidR="00D64E6F" w:rsidRDefault="00D64E6F" w:rsidP="00D64E6F">
            <w:pPr>
              <w:ind w:firstLineChars="200" w:firstLine="480"/>
              <w:rPr>
                <w:sz w:val="24"/>
                <w:szCs w:val="24"/>
              </w:rPr>
            </w:pPr>
            <w:r w:rsidRPr="00D64E6F">
              <w:rPr>
                <w:rFonts w:hint="eastAsia"/>
                <w:sz w:val="24"/>
                <w:szCs w:val="24"/>
              </w:rPr>
              <w:t>光大证券</w:t>
            </w:r>
            <w:r w:rsidRPr="00D64E6F">
              <w:rPr>
                <w:rFonts w:hint="eastAsia"/>
                <w:sz w:val="24"/>
                <w:szCs w:val="24"/>
              </w:rPr>
              <w:t xml:space="preserve"> </w:t>
            </w:r>
            <w:r w:rsidR="00FD2680">
              <w:rPr>
                <w:rFonts w:hint="eastAsia"/>
                <w:sz w:val="24"/>
                <w:szCs w:val="24"/>
              </w:rPr>
              <w:t xml:space="preserve">    </w:t>
            </w:r>
            <w:r w:rsidRPr="00D64E6F">
              <w:rPr>
                <w:rFonts w:hint="eastAsia"/>
                <w:sz w:val="24"/>
                <w:szCs w:val="24"/>
              </w:rPr>
              <w:t>白玥</w:t>
            </w:r>
          </w:p>
          <w:p w14:paraId="45E46B06" w14:textId="7303CBCF" w:rsidR="00984985" w:rsidRPr="00D64E6F" w:rsidRDefault="00D64E6F" w:rsidP="00D64E6F">
            <w:pPr>
              <w:ind w:firstLineChars="200" w:firstLine="480"/>
              <w:rPr>
                <w:sz w:val="24"/>
                <w:szCs w:val="24"/>
              </w:rPr>
            </w:pPr>
            <w:r w:rsidRPr="00D64E6F">
              <w:rPr>
                <w:rFonts w:hint="eastAsia"/>
                <w:sz w:val="24"/>
                <w:szCs w:val="24"/>
              </w:rPr>
              <w:t>国</w:t>
            </w:r>
            <w:proofErr w:type="gramStart"/>
            <w:r w:rsidRPr="00D64E6F">
              <w:rPr>
                <w:rFonts w:hint="eastAsia"/>
                <w:sz w:val="24"/>
                <w:szCs w:val="24"/>
              </w:rPr>
              <w:t>寿资产</w:t>
            </w:r>
            <w:proofErr w:type="gramEnd"/>
            <w:r w:rsidRPr="00D64E6F">
              <w:rPr>
                <w:rFonts w:hint="eastAsia"/>
                <w:sz w:val="24"/>
                <w:szCs w:val="24"/>
              </w:rPr>
              <w:t xml:space="preserve"> </w:t>
            </w:r>
            <w:r w:rsidR="00FD2680">
              <w:rPr>
                <w:rFonts w:hint="eastAsia"/>
                <w:sz w:val="24"/>
                <w:szCs w:val="24"/>
              </w:rPr>
              <w:t xml:space="preserve">    </w:t>
            </w:r>
            <w:r w:rsidRPr="00D64E6F">
              <w:rPr>
                <w:rFonts w:hint="eastAsia"/>
                <w:sz w:val="24"/>
                <w:szCs w:val="24"/>
              </w:rPr>
              <w:t>高奕昂、曹阳、朱丽江</w:t>
            </w:r>
          </w:p>
          <w:bookmarkEnd w:id="1"/>
          <w:p w14:paraId="6609F78D" w14:textId="626FA5F4" w:rsidR="00E93658" w:rsidRPr="00FB2E18" w:rsidRDefault="00E93658" w:rsidP="00E93658">
            <w:pPr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国泰基金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D2680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张玮、韩之昂</w:t>
            </w:r>
          </w:p>
        </w:tc>
      </w:tr>
      <w:tr w:rsidR="00656431" w14:paraId="2017135C" w14:textId="77777777" w:rsidTr="002E7DA8">
        <w:trPr>
          <w:trHeight w:val="285"/>
        </w:trPr>
        <w:tc>
          <w:tcPr>
            <w:tcW w:w="1696" w:type="dxa"/>
            <w:noWrap/>
            <w:vAlign w:val="center"/>
          </w:tcPr>
          <w:p w14:paraId="6584B4BF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地点</w:t>
            </w:r>
          </w:p>
        </w:tc>
        <w:tc>
          <w:tcPr>
            <w:tcW w:w="7088" w:type="dxa"/>
            <w:noWrap/>
          </w:tcPr>
          <w:p w14:paraId="2F16FDE5" w14:textId="47A4121E" w:rsidR="00656431" w:rsidRDefault="00B03F31" w:rsidP="00DE64B6">
            <w:pPr>
              <w:ind w:firstLineChars="700" w:firstLine="196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公司会议室</w:t>
            </w:r>
          </w:p>
        </w:tc>
      </w:tr>
      <w:tr w:rsidR="00656431" w14:paraId="43300DEE" w14:textId="77777777" w:rsidTr="002E7DA8">
        <w:trPr>
          <w:trHeight w:val="285"/>
        </w:trPr>
        <w:tc>
          <w:tcPr>
            <w:tcW w:w="1696" w:type="dxa"/>
            <w:noWrap/>
            <w:vAlign w:val="center"/>
          </w:tcPr>
          <w:p w14:paraId="304E69BE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公司接待人员姓名</w:t>
            </w:r>
          </w:p>
        </w:tc>
        <w:tc>
          <w:tcPr>
            <w:tcW w:w="7088" w:type="dxa"/>
            <w:noWrap/>
            <w:vAlign w:val="center"/>
          </w:tcPr>
          <w:p w14:paraId="4B3B7624" w14:textId="68DBCD93" w:rsidR="00E56919" w:rsidRPr="00082DD3" w:rsidRDefault="008F4BEF" w:rsidP="008F4BEF">
            <w:pPr>
              <w:ind w:firstLineChars="700" w:firstLine="1960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赵伟（董秘）</w:t>
            </w:r>
          </w:p>
        </w:tc>
      </w:tr>
      <w:tr w:rsidR="00656431" w:rsidRPr="00C80A66" w14:paraId="68D1BEBE" w14:textId="77777777" w:rsidTr="002E7DA8">
        <w:trPr>
          <w:trHeight w:val="1642"/>
        </w:trPr>
        <w:tc>
          <w:tcPr>
            <w:tcW w:w="1696" w:type="dxa"/>
            <w:noWrap/>
            <w:vAlign w:val="center"/>
          </w:tcPr>
          <w:p w14:paraId="25934EE9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投资者关系活动主要内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lastRenderedPageBreak/>
              <w:t>容介绍</w:t>
            </w:r>
          </w:p>
        </w:tc>
        <w:tc>
          <w:tcPr>
            <w:tcW w:w="7088" w:type="dxa"/>
            <w:noWrap/>
          </w:tcPr>
          <w:p w14:paraId="799DBE04" w14:textId="4A60154D" w:rsidR="00AE5713" w:rsidRDefault="00832826" w:rsidP="00AE5713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一</w:t>
            </w:r>
            <w:r w:rsidR="00A272AA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AE5713">
              <w:rPr>
                <w:rFonts w:asciiTheme="minorEastAsia" w:hAnsiTheme="minorEastAsia" w:hint="eastAsia"/>
                <w:sz w:val="28"/>
                <w:szCs w:val="28"/>
              </w:rPr>
              <w:t>调研交流情况：</w:t>
            </w:r>
          </w:p>
          <w:p w14:paraId="2424729A" w14:textId="76B8F6D2" w:rsidR="00832826" w:rsidRPr="00832826" w:rsidRDefault="00832826" w:rsidP="00832826">
            <w:pPr>
              <w:widowControl/>
              <w:ind w:firstLineChars="200" w:firstLine="56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832826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1、请问公司目前核心交易系统在行业中推进情况如何？</w:t>
            </w:r>
            <w:r w:rsidR="000E3016" w:rsidRPr="0083282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  <w:p w14:paraId="0BCABCC0" w14:textId="7B0693C1" w:rsidR="00B7455E" w:rsidRPr="00B7455E" w:rsidRDefault="00832826" w:rsidP="00B7455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回复：公司一直在积极推进新一代核心交易系统A5的建设，信创核心系统和关键项目均顺利推进。</w:t>
            </w:r>
            <w:r w:rsidR="00D126B6" w:rsidRPr="00D126B6">
              <w:rPr>
                <w:rFonts w:asciiTheme="minorEastAsia" w:hAnsiTheme="minorEastAsia" w:hint="eastAsia"/>
                <w:sz w:val="28"/>
                <w:szCs w:val="28"/>
              </w:rPr>
              <w:t>核心交易系统产品处于全面领先地位，</w:t>
            </w:r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多家券商的A5项目在</w:t>
            </w:r>
            <w:r w:rsidR="00613F99">
              <w:rPr>
                <w:rFonts w:asciiTheme="minorEastAsia" w:hAnsiTheme="minorEastAsia" w:hint="eastAsia"/>
                <w:sz w:val="28"/>
                <w:szCs w:val="28"/>
              </w:rPr>
              <w:t>积极</w:t>
            </w:r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推进</w:t>
            </w:r>
            <w:r w:rsidR="005B2E7F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  <w:r w:rsidR="005B2E7F" w:rsidRPr="00613F99">
              <w:rPr>
                <w:rFonts w:asciiTheme="minorEastAsia" w:hAnsiTheme="minorEastAsia" w:hint="eastAsia"/>
                <w:sz w:val="28"/>
                <w:szCs w:val="28"/>
              </w:rPr>
              <w:t>6月</w:t>
            </w:r>
            <w:r w:rsidR="00B7455E" w:rsidRPr="00613F99">
              <w:rPr>
                <w:rFonts w:asciiTheme="minorEastAsia" w:hAnsiTheme="minorEastAsia" w:hint="eastAsia"/>
                <w:sz w:val="28"/>
                <w:szCs w:val="28"/>
              </w:rPr>
              <w:t>6日</w:t>
            </w:r>
            <w:r w:rsidR="005B2E7F" w:rsidRPr="00613F99">
              <w:rPr>
                <w:rFonts w:asciiTheme="minorEastAsia" w:hAnsiTheme="minorEastAsia" w:hint="eastAsia"/>
                <w:sz w:val="28"/>
                <w:szCs w:val="28"/>
              </w:rPr>
              <w:t>，光大证券新一代</w:t>
            </w:r>
            <w:proofErr w:type="gramStart"/>
            <w:r w:rsidR="005B2E7F" w:rsidRPr="00613F99">
              <w:rPr>
                <w:rFonts w:asciiTheme="minorEastAsia" w:hAnsiTheme="minorEastAsia" w:hint="eastAsia"/>
                <w:sz w:val="28"/>
                <w:szCs w:val="28"/>
              </w:rPr>
              <w:t>信创核心</w:t>
            </w:r>
            <w:proofErr w:type="gramEnd"/>
            <w:r w:rsidR="005B2E7F" w:rsidRPr="00613F99">
              <w:rPr>
                <w:rFonts w:asciiTheme="minorEastAsia" w:hAnsiTheme="minorEastAsia" w:hint="eastAsia"/>
                <w:sz w:val="28"/>
                <w:szCs w:val="28"/>
              </w:rPr>
              <w:t>交易系统</w:t>
            </w:r>
            <w:r w:rsidR="00B7455E" w:rsidRPr="00613F99">
              <w:rPr>
                <w:rFonts w:asciiTheme="minorEastAsia" w:hAnsiTheme="minorEastAsia" w:hint="eastAsia"/>
                <w:sz w:val="28"/>
                <w:szCs w:val="28"/>
              </w:rPr>
              <w:t>建设</w:t>
            </w:r>
            <w:r w:rsidR="005B2E7F" w:rsidRPr="00613F99">
              <w:rPr>
                <w:rFonts w:asciiTheme="minorEastAsia" w:hAnsiTheme="minorEastAsia" w:hint="eastAsia"/>
                <w:sz w:val="28"/>
                <w:szCs w:val="28"/>
              </w:rPr>
              <w:t>正式启动</w:t>
            </w:r>
            <w:r w:rsidR="00613F99" w:rsidRPr="00613F99">
              <w:rPr>
                <w:rFonts w:asciiTheme="minorEastAsia" w:hAnsiTheme="minorEastAsia" w:hint="eastAsia"/>
                <w:sz w:val="28"/>
                <w:szCs w:val="28"/>
              </w:rPr>
              <w:t>；</w:t>
            </w:r>
            <w:r w:rsidR="00B7455E">
              <w:rPr>
                <w:rFonts w:asciiTheme="minorEastAsia" w:hAnsiTheme="minorEastAsia" w:hint="eastAsia"/>
                <w:sz w:val="28"/>
                <w:szCs w:val="28"/>
              </w:rPr>
              <w:t>这</w:t>
            </w:r>
            <w:r w:rsidR="00613F99">
              <w:rPr>
                <w:rFonts w:asciiTheme="minorEastAsia" w:hAnsiTheme="minorEastAsia" w:hint="eastAsia"/>
                <w:sz w:val="28"/>
                <w:szCs w:val="28"/>
              </w:rPr>
              <w:t>也</w:t>
            </w:r>
            <w:r w:rsidR="00B7455E">
              <w:rPr>
                <w:rFonts w:asciiTheme="minorEastAsia" w:hAnsiTheme="minorEastAsia" w:hint="eastAsia"/>
                <w:sz w:val="28"/>
                <w:szCs w:val="28"/>
              </w:rPr>
              <w:t>是</w:t>
            </w:r>
            <w:r w:rsidR="00B7455E" w:rsidRPr="00B7455E">
              <w:rPr>
                <w:rFonts w:asciiTheme="minorEastAsia" w:hAnsiTheme="minorEastAsia"/>
                <w:sz w:val="28"/>
                <w:szCs w:val="28"/>
              </w:rPr>
              <w:t>顶点A5系统的第11个正式落地项目</w:t>
            </w:r>
            <w:r w:rsidR="00613F99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="00B7455E" w:rsidRPr="00B7455E">
              <w:rPr>
                <w:rFonts w:asciiTheme="minorEastAsia" w:hAnsiTheme="minorEastAsia"/>
                <w:sz w:val="28"/>
                <w:szCs w:val="28"/>
              </w:rPr>
              <w:t>进一步巩固了顶点A5系统在证券</w:t>
            </w:r>
            <w:proofErr w:type="gramStart"/>
            <w:r w:rsidR="00B7455E" w:rsidRPr="00B7455E">
              <w:rPr>
                <w:rFonts w:asciiTheme="minorEastAsia" w:hAnsiTheme="minorEastAsia"/>
                <w:sz w:val="28"/>
                <w:szCs w:val="28"/>
              </w:rPr>
              <w:t>信创领域</w:t>
            </w:r>
            <w:proofErr w:type="gramEnd"/>
            <w:r w:rsidR="00B7455E" w:rsidRPr="00B7455E">
              <w:rPr>
                <w:rFonts w:asciiTheme="minorEastAsia" w:hAnsiTheme="minorEastAsia"/>
                <w:sz w:val="28"/>
                <w:szCs w:val="28"/>
              </w:rPr>
              <w:t>的领先地位，更以可复用的实践范例，为行业提供数字化转型重要参考。</w:t>
            </w:r>
          </w:p>
          <w:p w14:paraId="24583DB6" w14:textId="7BB7DA94" w:rsidR="00C423D0" w:rsidRPr="00B7455E" w:rsidRDefault="00C423D0" w:rsidP="00832826">
            <w:pPr>
              <w:widowControl/>
              <w:ind w:firstLineChars="200" w:firstLine="56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109A8C74" w14:textId="77777777" w:rsidR="00613F99" w:rsidRDefault="00140916" w:rsidP="00C87433">
            <w:pPr>
              <w:widowControl/>
              <w:ind w:firstLineChars="200" w:firstLine="56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A75209">
              <w:rPr>
                <w:rFonts w:asciiTheme="minorEastAsia" w:hAnsiTheme="minorEastAsia" w:hint="eastAsia"/>
                <w:sz w:val="28"/>
                <w:szCs w:val="28"/>
              </w:rPr>
              <w:t>2、</w:t>
            </w:r>
            <w:r w:rsidR="00613F99" w:rsidRPr="00613F99">
              <w:rPr>
                <w:rFonts w:asciiTheme="minorEastAsia" w:hAnsiTheme="minorEastAsia"/>
                <w:sz w:val="28"/>
                <w:szCs w:val="28"/>
              </w:rPr>
              <w:t xml:space="preserve">公司未来有什么盈利增长点？ </w:t>
            </w:r>
          </w:p>
          <w:p w14:paraId="2974220B" w14:textId="75A2C274" w:rsidR="00613F99" w:rsidRPr="00A75209" w:rsidRDefault="00613F99" w:rsidP="00613F99">
            <w:pPr>
              <w:widowControl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613F99">
              <w:rPr>
                <w:rFonts w:asciiTheme="minorEastAsia" w:hAnsiTheme="minorEastAsia"/>
                <w:sz w:val="28"/>
                <w:szCs w:val="28"/>
              </w:rPr>
              <w:t>回复：公司新交易体系、财富管理、</w:t>
            </w:r>
            <w:proofErr w:type="gramStart"/>
            <w:r w:rsidRPr="00613F99">
              <w:rPr>
                <w:rFonts w:asciiTheme="minorEastAsia" w:hAnsiTheme="minorEastAsia"/>
                <w:sz w:val="28"/>
                <w:szCs w:val="28"/>
              </w:rPr>
              <w:t>新资管体系</w:t>
            </w:r>
            <w:proofErr w:type="gramEnd"/>
            <w:r w:rsidRPr="00613F99">
              <w:rPr>
                <w:rFonts w:asciiTheme="minorEastAsia" w:hAnsiTheme="minorEastAsia"/>
                <w:sz w:val="28"/>
                <w:szCs w:val="28"/>
              </w:rPr>
              <w:t>与大运营体系等四大金融科技板块都有较大的业务增长空间。</w:t>
            </w:r>
          </w:p>
          <w:p w14:paraId="11AF66AA" w14:textId="77777777" w:rsidR="00E56919" w:rsidRDefault="00E56919" w:rsidP="00E56919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</w:p>
          <w:p w14:paraId="5252B383" w14:textId="77777777" w:rsidR="00F876FE" w:rsidRDefault="00613F99" w:rsidP="00613F99">
            <w:pPr>
              <w:widowControl/>
              <w:ind w:firstLineChars="200" w:firstLine="56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613F99">
              <w:rPr>
                <w:rFonts w:asciiTheme="minorEastAsia" w:hAnsiTheme="minorEastAsia"/>
                <w:sz w:val="28"/>
                <w:szCs w:val="28"/>
              </w:rPr>
              <w:t xml:space="preserve">3、对金融 IT 的展望？ </w:t>
            </w:r>
          </w:p>
          <w:p w14:paraId="21537073" w14:textId="49BD8FD7" w:rsidR="00613F99" w:rsidRDefault="00613F99" w:rsidP="00F876FE">
            <w:pPr>
              <w:widowControl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613F99">
              <w:rPr>
                <w:rFonts w:asciiTheme="minorEastAsia" w:hAnsiTheme="minorEastAsia"/>
                <w:sz w:val="28"/>
                <w:szCs w:val="28"/>
              </w:rPr>
              <w:t>回复：对未来市场环境</w:t>
            </w:r>
            <w:proofErr w:type="gramStart"/>
            <w:r w:rsidRPr="00613F99">
              <w:rPr>
                <w:rFonts w:asciiTheme="minorEastAsia" w:hAnsiTheme="minorEastAsia"/>
                <w:sz w:val="28"/>
                <w:szCs w:val="28"/>
              </w:rPr>
              <w:t>持相对</w:t>
            </w:r>
            <w:proofErr w:type="gramEnd"/>
            <w:r w:rsidRPr="00613F99">
              <w:rPr>
                <w:rFonts w:asciiTheme="minorEastAsia" w:hAnsiTheme="minorEastAsia"/>
                <w:sz w:val="28"/>
                <w:szCs w:val="28"/>
              </w:rPr>
              <w:t>乐观的态度，公司会尽力利用优势产品线的市场扩大和</w:t>
            </w:r>
            <w:proofErr w:type="gramStart"/>
            <w:r w:rsidRPr="00613F99">
              <w:rPr>
                <w:rFonts w:asciiTheme="minorEastAsia" w:hAnsiTheme="minorEastAsia"/>
                <w:sz w:val="28"/>
                <w:szCs w:val="28"/>
              </w:rPr>
              <w:t>国产信创</w:t>
            </w:r>
            <w:proofErr w:type="gramEnd"/>
            <w:r w:rsidRPr="00613F99">
              <w:rPr>
                <w:rFonts w:asciiTheme="minorEastAsia" w:hAnsiTheme="minorEastAsia"/>
                <w:sz w:val="28"/>
                <w:szCs w:val="28"/>
              </w:rPr>
              <w:t xml:space="preserve">替代及近年新研发产品的市场开拓以实现经营增长的目标。 </w:t>
            </w:r>
          </w:p>
          <w:p w14:paraId="3B9BF34E" w14:textId="0844107D" w:rsidR="00613F99" w:rsidRPr="00E56919" w:rsidRDefault="00613F99" w:rsidP="00613F99">
            <w:pPr>
              <w:widowControl/>
              <w:ind w:firstLineChars="200" w:firstLine="56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</w:tbl>
    <w:p w14:paraId="5D3974F3" w14:textId="3B5DCDA0" w:rsidR="006B69BF" w:rsidRDefault="006B69BF" w:rsidP="00FE0687">
      <w:pPr>
        <w:widowControl/>
        <w:jc w:val="left"/>
      </w:pPr>
    </w:p>
    <w:p w14:paraId="5C3D6BCF" w14:textId="03B8EBFA" w:rsidR="00656431" w:rsidRPr="00417C3D" w:rsidRDefault="00656431" w:rsidP="00FE0687">
      <w:pPr>
        <w:widowControl/>
        <w:jc w:val="left"/>
      </w:pPr>
    </w:p>
    <w:sectPr w:rsidR="00656431" w:rsidRPr="0041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5C575" w14:textId="77777777" w:rsidR="00AC5FE8" w:rsidRDefault="00AC5FE8" w:rsidP="00FC65CC">
      <w:r>
        <w:separator/>
      </w:r>
    </w:p>
  </w:endnote>
  <w:endnote w:type="continuationSeparator" w:id="0">
    <w:p w14:paraId="117C740A" w14:textId="77777777" w:rsidR="00AC5FE8" w:rsidRDefault="00AC5FE8" w:rsidP="00FC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78906" w14:textId="77777777" w:rsidR="00AC5FE8" w:rsidRDefault="00AC5FE8" w:rsidP="00FC65CC">
      <w:r>
        <w:separator/>
      </w:r>
    </w:p>
  </w:footnote>
  <w:footnote w:type="continuationSeparator" w:id="0">
    <w:p w14:paraId="0D7E98C1" w14:textId="77777777" w:rsidR="00AC5FE8" w:rsidRDefault="00AC5FE8" w:rsidP="00FC6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2099"/>
    <w:multiLevelType w:val="hybridMultilevel"/>
    <w:tmpl w:val="504E4C86"/>
    <w:lvl w:ilvl="0" w:tplc="946C95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3EA5AC0"/>
    <w:multiLevelType w:val="hybridMultilevel"/>
    <w:tmpl w:val="8C74DF70"/>
    <w:lvl w:ilvl="0" w:tplc="4296C28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62E0C95"/>
    <w:multiLevelType w:val="hybridMultilevel"/>
    <w:tmpl w:val="347CCF64"/>
    <w:lvl w:ilvl="0" w:tplc="7F7A04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79B4CFD"/>
    <w:multiLevelType w:val="multilevel"/>
    <w:tmpl w:val="179B4CF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F607ED"/>
    <w:multiLevelType w:val="hybridMultilevel"/>
    <w:tmpl w:val="D32027E6"/>
    <w:lvl w:ilvl="0" w:tplc="E5E65692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99E301D"/>
    <w:multiLevelType w:val="hybridMultilevel"/>
    <w:tmpl w:val="76F87FF4"/>
    <w:lvl w:ilvl="0" w:tplc="5A5624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2111775130">
    <w:abstractNumId w:val="3"/>
  </w:num>
  <w:num w:numId="2" w16cid:durableId="567809443">
    <w:abstractNumId w:val="1"/>
  </w:num>
  <w:num w:numId="3" w16cid:durableId="1296594463">
    <w:abstractNumId w:val="4"/>
  </w:num>
  <w:num w:numId="4" w16cid:durableId="81680227">
    <w:abstractNumId w:val="5"/>
  </w:num>
  <w:num w:numId="5" w16cid:durableId="491067731">
    <w:abstractNumId w:val="0"/>
  </w:num>
  <w:num w:numId="6" w16cid:durableId="1069378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F8"/>
    <w:rsid w:val="000011E3"/>
    <w:rsid w:val="00014642"/>
    <w:rsid w:val="000158E6"/>
    <w:rsid w:val="00015B6C"/>
    <w:rsid w:val="00021E7F"/>
    <w:rsid w:val="00034E1D"/>
    <w:rsid w:val="00036D50"/>
    <w:rsid w:val="000374D4"/>
    <w:rsid w:val="00041866"/>
    <w:rsid w:val="00041BC6"/>
    <w:rsid w:val="0004789F"/>
    <w:rsid w:val="00050198"/>
    <w:rsid w:val="00066614"/>
    <w:rsid w:val="00070BF1"/>
    <w:rsid w:val="00082DD3"/>
    <w:rsid w:val="00093321"/>
    <w:rsid w:val="0009493E"/>
    <w:rsid w:val="00096A5E"/>
    <w:rsid w:val="000976B2"/>
    <w:rsid w:val="000C23ED"/>
    <w:rsid w:val="000C2E67"/>
    <w:rsid w:val="000C3354"/>
    <w:rsid w:val="000C48EC"/>
    <w:rsid w:val="000C6DA5"/>
    <w:rsid w:val="000D036F"/>
    <w:rsid w:val="000E020E"/>
    <w:rsid w:val="000E3016"/>
    <w:rsid w:val="000E4C0C"/>
    <w:rsid w:val="000E7E0D"/>
    <w:rsid w:val="000F41F6"/>
    <w:rsid w:val="00101049"/>
    <w:rsid w:val="00105CDC"/>
    <w:rsid w:val="00107CD9"/>
    <w:rsid w:val="00114DEE"/>
    <w:rsid w:val="00117E54"/>
    <w:rsid w:val="001201C9"/>
    <w:rsid w:val="00121726"/>
    <w:rsid w:val="00131816"/>
    <w:rsid w:val="00134DCD"/>
    <w:rsid w:val="00140916"/>
    <w:rsid w:val="00142497"/>
    <w:rsid w:val="0014721A"/>
    <w:rsid w:val="00151DF6"/>
    <w:rsid w:val="0015376C"/>
    <w:rsid w:val="00162085"/>
    <w:rsid w:val="00165577"/>
    <w:rsid w:val="00165648"/>
    <w:rsid w:val="00166A35"/>
    <w:rsid w:val="00167B0F"/>
    <w:rsid w:val="001709C6"/>
    <w:rsid w:val="001727BA"/>
    <w:rsid w:val="00173003"/>
    <w:rsid w:val="00177F72"/>
    <w:rsid w:val="00181AF7"/>
    <w:rsid w:val="00182AA7"/>
    <w:rsid w:val="00185C6A"/>
    <w:rsid w:val="00186E0D"/>
    <w:rsid w:val="001A3CF8"/>
    <w:rsid w:val="001A64C6"/>
    <w:rsid w:val="001A6FE0"/>
    <w:rsid w:val="001B257F"/>
    <w:rsid w:val="001B7284"/>
    <w:rsid w:val="001C3422"/>
    <w:rsid w:val="001C3BC2"/>
    <w:rsid w:val="001C68BE"/>
    <w:rsid w:val="001C7095"/>
    <w:rsid w:val="001D1127"/>
    <w:rsid w:val="001D2844"/>
    <w:rsid w:val="001D31E7"/>
    <w:rsid w:val="001D3BEF"/>
    <w:rsid w:val="001D5E3A"/>
    <w:rsid w:val="001E0F46"/>
    <w:rsid w:val="001E25D3"/>
    <w:rsid w:val="001F0C6F"/>
    <w:rsid w:val="001F6A3E"/>
    <w:rsid w:val="001F7C46"/>
    <w:rsid w:val="001F7F9B"/>
    <w:rsid w:val="00203C43"/>
    <w:rsid w:val="002145C8"/>
    <w:rsid w:val="002171F9"/>
    <w:rsid w:val="00240184"/>
    <w:rsid w:val="00242FAE"/>
    <w:rsid w:val="00245D22"/>
    <w:rsid w:val="002501F5"/>
    <w:rsid w:val="00250861"/>
    <w:rsid w:val="0025343B"/>
    <w:rsid w:val="0025406B"/>
    <w:rsid w:val="002610BC"/>
    <w:rsid w:val="0026694E"/>
    <w:rsid w:val="0027747B"/>
    <w:rsid w:val="00280B1F"/>
    <w:rsid w:val="00287952"/>
    <w:rsid w:val="00294102"/>
    <w:rsid w:val="002968BA"/>
    <w:rsid w:val="002A35D7"/>
    <w:rsid w:val="002A3D27"/>
    <w:rsid w:val="002A6C29"/>
    <w:rsid w:val="002A7D62"/>
    <w:rsid w:val="002B016F"/>
    <w:rsid w:val="002C6764"/>
    <w:rsid w:val="002D0E27"/>
    <w:rsid w:val="002D4197"/>
    <w:rsid w:val="002D5760"/>
    <w:rsid w:val="002E186C"/>
    <w:rsid w:val="002E7DA8"/>
    <w:rsid w:val="002F0726"/>
    <w:rsid w:val="002F13CB"/>
    <w:rsid w:val="002F4D81"/>
    <w:rsid w:val="002F64F1"/>
    <w:rsid w:val="00302968"/>
    <w:rsid w:val="0030426B"/>
    <w:rsid w:val="00310ADD"/>
    <w:rsid w:val="003143C7"/>
    <w:rsid w:val="003148DF"/>
    <w:rsid w:val="003151ED"/>
    <w:rsid w:val="00323352"/>
    <w:rsid w:val="00330F2F"/>
    <w:rsid w:val="00336DC5"/>
    <w:rsid w:val="00341BB3"/>
    <w:rsid w:val="003475F6"/>
    <w:rsid w:val="003537C8"/>
    <w:rsid w:val="0035410E"/>
    <w:rsid w:val="00354E4F"/>
    <w:rsid w:val="00360BB4"/>
    <w:rsid w:val="003621BD"/>
    <w:rsid w:val="00376E35"/>
    <w:rsid w:val="00377391"/>
    <w:rsid w:val="003819E9"/>
    <w:rsid w:val="00384121"/>
    <w:rsid w:val="0038554A"/>
    <w:rsid w:val="003868B7"/>
    <w:rsid w:val="00386B97"/>
    <w:rsid w:val="003870F1"/>
    <w:rsid w:val="003876E4"/>
    <w:rsid w:val="003914AA"/>
    <w:rsid w:val="00394DC9"/>
    <w:rsid w:val="00396743"/>
    <w:rsid w:val="003A2EBE"/>
    <w:rsid w:val="003A6A5C"/>
    <w:rsid w:val="003B099F"/>
    <w:rsid w:val="003B3F40"/>
    <w:rsid w:val="003B5B08"/>
    <w:rsid w:val="003B75B8"/>
    <w:rsid w:val="003C1F9B"/>
    <w:rsid w:val="003C7BEB"/>
    <w:rsid w:val="003D02B0"/>
    <w:rsid w:val="003D0FEE"/>
    <w:rsid w:val="003D496E"/>
    <w:rsid w:val="003E7324"/>
    <w:rsid w:val="003F340E"/>
    <w:rsid w:val="003F376B"/>
    <w:rsid w:val="00400583"/>
    <w:rsid w:val="004016E7"/>
    <w:rsid w:val="00406CB0"/>
    <w:rsid w:val="0041005C"/>
    <w:rsid w:val="004102F2"/>
    <w:rsid w:val="00411A8A"/>
    <w:rsid w:val="00417C3D"/>
    <w:rsid w:val="004204A3"/>
    <w:rsid w:val="004227D5"/>
    <w:rsid w:val="00422D8E"/>
    <w:rsid w:val="004250A3"/>
    <w:rsid w:val="004256CD"/>
    <w:rsid w:val="00427385"/>
    <w:rsid w:val="00432273"/>
    <w:rsid w:val="0043651B"/>
    <w:rsid w:val="004372B7"/>
    <w:rsid w:val="00437EDD"/>
    <w:rsid w:val="00440AF2"/>
    <w:rsid w:val="00440EE3"/>
    <w:rsid w:val="004446E0"/>
    <w:rsid w:val="0044496C"/>
    <w:rsid w:val="00444CE7"/>
    <w:rsid w:val="004479AA"/>
    <w:rsid w:val="00454A34"/>
    <w:rsid w:val="004579C9"/>
    <w:rsid w:val="00457CF4"/>
    <w:rsid w:val="00463226"/>
    <w:rsid w:val="00464794"/>
    <w:rsid w:val="00465320"/>
    <w:rsid w:val="00470CD7"/>
    <w:rsid w:val="00472DCA"/>
    <w:rsid w:val="00474327"/>
    <w:rsid w:val="00477AA6"/>
    <w:rsid w:val="0048138E"/>
    <w:rsid w:val="0048280A"/>
    <w:rsid w:val="00486296"/>
    <w:rsid w:val="00494F34"/>
    <w:rsid w:val="004A5061"/>
    <w:rsid w:val="004A6355"/>
    <w:rsid w:val="004B0711"/>
    <w:rsid w:val="004B2361"/>
    <w:rsid w:val="004B66E1"/>
    <w:rsid w:val="004C03ED"/>
    <w:rsid w:val="004C0BDD"/>
    <w:rsid w:val="004C1D43"/>
    <w:rsid w:val="004C5728"/>
    <w:rsid w:val="004D0113"/>
    <w:rsid w:val="004D17D7"/>
    <w:rsid w:val="004D29DE"/>
    <w:rsid w:val="004D2CF7"/>
    <w:rsid w:val="004D3F94"/>
    <w:rsid w:val="004E04DF"/>
    <w:rsid w:val="004E08C7"/>
    <w:rsid w:val="004E0A7C"/>
    <w:rsid w:val="004F5FD0"/>
    <w:rsid w:val="00504313"/>
    <w:rsid w:val="00510124"/>
    <w:rsid w:val="00516A94"/>
    <w:rsid w:val="00520B2B"/>
    <w:rsid w:val="00521BA5"/>
    <w:rsid w:val="00525136"/>
    <w:rsid w:val="00530532"/>
    <w:rsid w:val="00531024"/>
    <w:rsid w:val="005322BD"/>
    <w:rsid w:val="00533734"/>
    <w:rsid w:val="00534D21"/>
    <w:rsid w:val="00541EBA"/>
    <w:rsid w:val="0054353C"/>
    <w:rsid w:val="005443BF"/>
    <w:rsid w:val="00546BCA"/>
    <w:rsid w:val="005503D5"/>
    <w:rsid w:val="00550FD6"/>
    <w:rsid w:val="00555E6E"/>
    <w:rsid w:val="00560690"/>
    <w:rsid w:val="00563244"/>
    <w:rsid w:val="00564C88"/>
    <w:rsid w:val="00584C38"/>
    <w:rsid w:val="00585463"/>
    <w:rsid w:val="005857B4"/>
    <w:rsid w:val="00590391"/>
    <w:rsid w:val="00591703"/>
    <w:rsid w:val="00596B49"/>
    <w:rsid w:val="005A0F86"/>
    <w:rsid w:val="005A5EC5"/>
    <w:rsid w:val="005A7B41"/>
    <w:rsid w:val="005B2E7F"/>
    <w:rsid w:val="005B4FF9"/>
    <w:rsid w:val="005B7A73"/>
    <w:rsid w:val="005C1E2E"/>
    <w:rsid w:val="005C471C"/>
    <w:rsid w:val="005C7268"/>
    <w:rsid w:val="005D4B2C"/>
    <w:rsid w:val="005D5A54"/>
    <w:rsid w:val="005D5BFD"/>
    <w:rsid w:val="005E2091"/>
    <w:rsid w:val="005E47DE"/>
    <w:rsid w:val="005E5324"/>
    <w:rsid w:val="005F327F"/>
    <w:rsid w:val="006025C1"/>
    <w:rsid w:val="00602C96"/>
    <w:rsid w:val="00610FAD"/>
    <w:rsid w:val="00613F99"/>
    <w:rsid w:val="00632969"/>
    <w:rsid w:val="006329A5"/>
    <w:rsid w:val="00632E81"/>
    <w:rsid w:val="00635067"/>
    <w:rsid w:val="00641428"/>
    <w:rsid w:val="006416E8"/>
    <w:rsid w:val="006520BA"/>
    <w:rsid w:val="00656431"/>
    <w:rsid w:val="0068250D"/>
    <w:rsid w:val="0068283F"/>
    <w:rsid w:val="00684E8C"/>
    <w:rsid w:val="006862E5"/>
    <w:rsid w:val="00691239"/>
    <w:rsid w:val="006966F3"/>
    <w:rsid w:val="006968D8"/>
    <w:rsid w:val="006A08E8"/>
    <w:rsid w:val="006A2631"/>
    <w:rsid w:val="006A3A47"/>
    <w:rsid w:val="006A6A8E"/>
    <w:rsid w:val="006B69BF"/>
    <w:rsid w:val="006C48C3"/>
    <w:rsid w:val="006D656D"/>
    <w:rsid w:val="006E10B0"/>
    <w:rsid w:val="006E5148"/>
    <w:rsid w:val="006E5F63"/>
    <w:rsid w:val="006E787A"/>
    <w:rsid w:val="006F389A"/>
    <w:rsid w:val="006F4155"/>
    <w:rsid w:val="007035FD"/>
    <w:rsid w:val="00704351"/>
    <w:rsid w:val="0071569D"/>
    <w:rsid w:val="00734611"/>
    <w:rsid w:val="0074008C"/>
    <w:rsid w:val="00762644"/>
    <w:rsid w:val="007664DC"/>
    <w:rsid w:val="0076690C"/>
    <w:rsid w:val="00766AE2"/>
    <w:rsid w:val="00781A2F"/>
    <w:rsid w:val="00782208"/>
    <w:rsid w:val="007824C9"/>
    <w:rsid w:val="007916C5"/>
    <w:rsid w:val="00795F32"/>
    <w:rsid w:val="00796BF8"/>
    <w:rsid w:val="007A61EC"/>
    <w:rsid w:val="007B07C1"/>
    <w:rsid w:val="007B27B4"/>
    <w:rsid w:val="007B39BB"/>
    <w:rsid w:val="007B7354"/>
    <w:rsid w:val="007C0509"/>
    <w:rsid w:val="007C08AC"/>
    <w:rsid w:val="007D14F0"/>
    <w:rsid w:val="007E123F"/>
    <w:rsid w:val="007E7200"/>
    <w:rsid w:val="007E7D5C"/>
    <w:rsid w:val="007F1057"/>
    <w:rsid w:val="007F1B98"/>
    <w:rsid w:val="007F5B2B"/>
    <w:rsid w:val="007F5CD6"/>
    <w:rsid w:val="00802C82"/>
    <w:rsid w:val="0081734C"/>
    <w:rsid w:val="00817C7C"/>
    <w:rsid w:val="00830A2F"/>
    <w:rsid w:val="00832826"/>
    <w:rsid w:val="00832FFC"/>
    <w:rsid w:val="00833769"/>
    <w:rsid w:val="00833DD0"/>
    <w:rsid w:val="00834992"/>
    <w:rsid w:val="00837763"/>
    <w:rsid w:val="008409C3"/>
    <w:rsid w:val="00847275"/>
    <w:rsid w:val="0085602C"/>
    <w:rsid w:val="00856D50"/>
    <w:rsid w:val="00862D67"/>
    <w:rsid w:val="008649FB"/>
    <w:rsid w:val="00864DFD"/>
    <w:rsid w:val="00865178"/>
    <w:rsid w:val="00870681"/>
    <w:rsid w:val="008727B6"/>
    <w:rsid w:val="008729AA"/>
    <w:rsid w:val="00876937"/>
    <w:rsid w:val="00877B90"/>
    <w:rsid w:val="00885538"/>
    <w:rsid w:val="00892107"/>
    <w:rsid w:val="008A0546"/>
    <w:rsid w:val="008A5289"/>
    <w:rsid w:val="008B01F1"/>
    <w:rsid w:val="008B3FDF"/>
    <w:rsid w:val="008C180A"/>
    <w:rsid w:val="008C1A30"/>
    <w:rsid w:val="008C58F3"/>
    <w:rsid w:val="008D2512"/>
    <w:rsid w:val="008D3696"/>
    <w:rsid w:val="008D5010"/>
    <w:rsid w:val="008E6BBA"/>
    <w:rsid w:val="008F27E6"/>
    <w:rsid w:val="008F2B33"/>
    <w:rsid w:val="008F40DF"/>
    <w:rsid w:val="008F4BEF"/>
    <w:rsid w:val="009026DD"/>
    <w:rsid w:val="00905F4F"/>
    <w:rsid w:val="00910224"/>
    <w:rsid w:val="00911AEA"/>
    <w:rsid w:val="009124EE"/>
    <w:rsid w:val="00914012"/>
    <w:rsid w:val="009164B5"/>
    <w:rsid w:val="009175E2"/>
    <w:rsid w:val="0093625B"/>
    <w:rsid w:val="00936292"/>
    <w:rsid w:val="009416C8"/>
    <w:rsid w:val="00943E06"/>
    <w:rsid w:val="00944738"/>
    <w:rsid w:val="00945CDB"/>
    <w:rsid w:val="009474B9"/>
    <w:rsid w:val="00952F25"/>
    <w:rsid w:val="0095571D"/>
    <w:rsid w:val="00956430"/>
    <w:rsid w:val="009615F3"/>
    <w:rsid w:val="009646F8"/>
    <w:rsid w:val="00984985"/>
    <w:rsid w:val="009A678D"/>
    <w:rsid w:val="009A6902"/>
    <w:rsid w:val="009B51DF"/>
    <w:rsid w:val="009B52C8"/>
    <w:rsid w:val="009C3E4A"/>
    <w:rsid w:val="009D1D82"/>
    <w:rsid w:val="009D5855"/>
    <w:rsid w:val="009E0504"/>
    <w:rsid w:val="009E1DB1"/>
    <w:rsid w:val="009E5D9E"/>
    <w:rsid w:val="009E7B59"/>
    <w:rsid w:val="009F5CDF"/>
    <w:rsid w:val="00A02A86"/>
    <w:rsid w:val="00A072C0"/>
    <w:rsid w:val="00A16946"/>
    <w:rsid w:val="00A1721D"/>
    <w:rsid w:val="00A215D8"/>
    <w:rsid w:val="00A22A1E"/>
    <w:rsid w:val="00A236A0"/>
    <w:rsid w:val="00A24E56"/>
    <w:rsid w:val="00A26D31"/>
    <w:rsid w:val="00A272AA"/>
    <w:rsid w:val="00A33BAE"/>
    <w:rsid w:val="00A5020E"/>
    <w:rsid w:val="00A5271D"/>
    <w:rsid w:val="00A52C88"/>
    <w:rsid w:val="00A6178E"/>
    <w:rsid w:val="00A64D96"/>
    <w:rsid w:val="00A64DBE"/>
    <w:rsid w:val="00A65097"/>
    <w:rsid w:val="00A66E24"/>
    <w:rsid w:val="00A75209"/>
    <w:rsid w:val="00A752DB"/>
    <w:rsid w:val="00A758A0"/>
    <w:rsid w:val="00A96C37"/>
    <w:rsid w:val="00AA72D7"/>
    <w:rsid w:val="00AB1B79"/>
    <w:rsid w:val="00AB1DCC"/>
    <w:rsid w:val="00AB201A"/>
    <w:rsid w:val="00AB4436"/>
    <w:rsid w:val="00AB4868"/>
    <w:rsid w:val="00AB56E9"/>
    <w:rsid w:val="00AC3024"/>
    <w:rsid w:val="00AC5E0C"/>
    <w:rsid w:val="00AC5FE8"/>
    <w:rsid w:val="00AC6D9F"/>
    <w:rsid w:val="00AD0418"/>
    <w:rsid w:val="00AD4423"/>
    <w:rsid w:val="00AD6A62"/>
    <w:rsid w:val="00AE5713"/>
    <w:rsid w:val="00AE5E16"/>
    <w:rsid w:val="00B002D6"/>
    <w:rsid w:val="00B02D7B"/>
    <w:rsid w:val="00B03F31"/>
    <w:rsid w:val="00B070D4"/>
    <w:rsid w:val="00B12046"/>
    <w:rsid w:val="00B126F8"/>
    <w:rsid w:val="00B1331B"/>
    <w:rsid w:val="00B13FDC"/>
    <w:rsid w:val="00B25E0F"/>
    <w:rsid w:val="00B2725A"/>
    <w:rsid w:val="00B33507"/>
    <w:rsid w:val="00B37A77"/>
    <w:rsid w:val="00B4234A"/>
    <w:rsid w:val="00B43B62"/>
    <w:rsid w:val="00B460D3"/>
    <w:rsid w:val="00B51948"/>
    <w:rsid w:val="00B52985"/>
    <w:rsid w:val="00B54D7C"/>
    <w:rsid w:val="00B613BB"/>
    <w:rsid w:val="00B7455E"/>
    <w:rsid w:val="00B7719C"/>
    <w:rsid w:val="00B825D0"/>
    <w:rsid w:val="00B841AB"/>
    <w:rsid w:val="00B863FF"/>
    <w:rsid w:val="00BA38F3"/>
    <w:rsid w:val="00BA4B2C"/>
    <w:rsid w:val="00BA62CC"/>
    <w:rsid w:val="00BA71EB"/>
    <w:rsid w:val="00BB46FC"/>
    <w:rsid w:val="00BC1EC3"/>
    <w:rsid w:val="00BC258D"/>
    <w:rsid w:val="00BC556E"/>
    <w:rsid w:val="00BC6729"/>
    <w:rsid w:val="00BC7FF5"/>
    <w:rsid w:val="00BE00BD"/>
    <w:rsid w:val="00BE18F2"/>
    <w:rsid w:val="00BE4784"/>
    <w:rsid w:val="00BF1F78"/>
    <w:rsid w:val="00C05FF8"/>
    <w:rsid w:val="00C11B91"/>
    <w:rsid w:val="00C12C7B"/>
    <w:rsid w:val="00C26C03"/>
    <w:rsid w:val="00C33B1C"/>
    <w:rsid w:val="00C3530F"/>
    <w:rsid w:val="00C35837"/>
    <w:rsid w:val="00C37584"/>
    <w:rsid w:val="00C423D0"/>
    <w:rsid w:val="00C51EF1"/>
    <w:rsid w:val="00C6453C"/>
    <w:rsid w:val="00C65774"/>
    <w:rsid w:val="00C676BF"/>
    <w:rsid w:val="00C74CCB"/>
    <w:rsid w:val="00C75CC1"/>
    <w:rsid w:val="00C80A66"/>
    <w:rsid w:val="00C80EE8"/>
    <w:rsid w:val="00C82510"/>
    <w:rsid w:val="00C86D5A"/>
    <w:rsid w:val="00C87433"/>
    <w:rsid w:val="00C874BA"/>
    <w:rsid w:val="00C94BEA"/>
    <w:rsid w:val="00C951B5"/>
    <w:rsid w:val="00C959C9"/>
    <w:rsid w:val="00C97175"/>
    <w:rsid w:val="00CA1FAB"/>
    <w:rsid w:val="00CA5F7D"/>
    <w:rsid w:val="00CB03E9"/>
    <w:rsid w:val="00CB4B3C"/>
    <w:rsid w:val="00CB68E2"/>
    <w:rsid w:val="00CB6E8B"/>
    <w:rsid w:val="00CC11DD"/>
    <w:rsid w:val="00CC339B"/>
    <w:rsid w:val="00CC6824"/>
    <w:rsid w:val="00CD27AB"/>
    <w:rsid w:val="00CD461B"/>
    <w:rsid w:val="00CE0B34"/>
    <w:rsid w:val="00CE7BA4"/>
    <w:rsid w:val="00CF2855"/>
    <w:rsid w:val="00D04388"/>
    <w:rsid w:val="00D0589F"/>
    <w:rsid w:val="00D10F80"/>
    <w:rsid w:val="00D126B6"/>
    <w:rsid w:val="00D15B83"/>
    <w:rsid w:val="00D15C20"/>
    <w:rsid w:val="00D16016"/>
    <w:rsid w:val="00D2153A"/>
    <w:rsid w:val="00D22510"/>
    <w:rsid w:val="00D258D4"/>
    <w:rsid w:val="00D26D95"/>
    <w:rsid w:val="00D27F2F"/>
    <w:rsid w:val="00D320FA"/>
    <w:rsid w:val="00D329D9"/>
    <w:rsid w:val="00D37ACA"/>
    <w:rsid w:val="00D4474F"/>
    <w:rsid w:val="00D53304"/>
    <w:rsid w:val="00D627F7"/>
    <w:rsid w:val="00D633F0"/>
    <w:rsid w:val="00D64E6F"/>
    <w:rsid w:val="00D67F2A"/>
    <w:rsid w:val="00D70E14"/>
    <w:rsid w:val="00D74456"/>
    <w:rsid w:val="00D757C4"/>
    <w:rsid w:val="00D80D7F"/>
    <w:rsid w:val="00D83230"/>
    <w:rsid w:val="00D8550F"/>
    <w:rsid w:val="00D94F67"/>
    <w:rsid w:val="00DA1636"/>
    <w:rsid w:val="00DB3469"/>
    <w:rsid w:val="00DB4DE9"/>
    <w:rsid w:val="00DC3A4C"/>
    <w:rsid w:val="00DC56DA"/>
    <w:rsid w:val="00DE212A"/>
    <w:rsid w:val="00DE2170"/>
    <w:rsid w:val="00DE64B6"/>
    <w:rsid w:val="00DE766D"/>
    <w:rsid w:val="00DE7953"/>
    <w:rsid w:val="00DF0174"/>
    <w:rsid w:val="00DF118A"/>
    <w:rsid w:val="00DF6121"/>
    <w:rsid w:val="00E0030A"/>
    <w:rsid w:val="00E003AA"/>
    <w:rsid w:val="00E03C52"/>
    <w:rsid w:val="00E040BF"/>
    <w:rsid w:val="00E05798"/>
    <w:rsid w:val="00E06E6D"/>
    <w:rsid w:val="00E120EE"/>
    <w:rsid w:val="00E32516"/>
    <w:rsid w:val="00E4525A"/>
    <w:rsid w:val="00E461BC"/>
    <w:rsid w:val="00E50777"/>
    <w:rsid w:val="00E520E5"/>
    <w:rsid w:val="00E52B7E"/>
    <w:rsid w:val="00E54D11"/>
    <w:rsid w:val="00E56919"/>
    <w:rsid w:val="00E60558"/>
    <w:rsid w:val="00E63B6D"/>
    <w:rsid w:val="00E656BC"/>
    <w:rsid w:val="00E729B8"/>
    <w:rsid w:val="00E72FE1"/>
    <w:rsid w:val="00E7375F"/>
    <w:rsid w:val="00E80294"/>
    <w:rsid w:val="00E806DF"/>
    <w:rsid w:val="00E8465B"/>
    <w:rsid w:val="00E85A40"/>
    <w:rsid w:val="00E93658"/>
    <w:rsid w:val="00E967DC"/>
    <w:rsid w:val="00EA1ABE"/>
    <w:rsid w:val="00EA30B8"/>
    <w:rsid w:val="00EA6BC9"/>
    <w:rsid w:val="00EA6E65"/>
    <w:rsid w:val="00EB1FC1"/>
    <w:rsid w:val="00EB2048"/>
    <w:rsid w:val="00EB2B2A"/>
    <w:rsid w:val="00EB5D1A"/>
    <w:rsid w:val="00EB5E19"/>
    <w:rsid w:val="00EB7589"/>
    <w:rsid w:val="00EC2840"/>
    <w:rsid w:val="00EC3DE2"/>
    <w:rsid w:val="00EC4776"/>
    <w:rsid w:val="00EC788C"/>
    <w:rsid w:val="00EC79A9"/>
    <w:rsid w:val="00ED0AFC"/>
    <w:rsid w:val="00ED63F1"/>
    <w:rsid w:val="00ED7938"/>
    <w:rsid w:val="00EE00F4"/>
    <w:rsid w:val="00EE3EFF"/>
    <w:rsid w:val="00EE6F57"/>
    <w:rsid w:val="00EF21A4"/>
    <w:rsid w:val="00EF2B2F"/>
    <w:rsid w:val="00EF6A04"/>
    <w:rsid w:val="00F02076"/>
    <w:rsid w:val="00F0404B"/>
    <w:rsid w:val="00F04DEB"/>
    <w:rsid w:val="00F10B6A"/>
    <w:rsid w:val="00F10EBF"/>
    <w:rsid w:val="00F138CF"/>
    <w:rsid w:val="00F20286"/>
    <w:rsid w:val="00F238A2"/>
    <w:rsid w:val="00F253B6"/>
    <w:rsid w:val="00F26B08"/>
    <w:rsid w:val="00F26B28"/>
    <w:rsid w:val="00F357E0"/>
    <w:rsid w:val="00F37002"/>
    <w:rsid w:val="00F37CB4"/>
    <w:rsid w:val="00F52ACD"/>
    <w:rsid w:val="00F556DA"/>
    <w:rsid w:val="00F56D11"/>
    <w:rsid w:val="00F622B7"/>
    <w:rsid w:val="00F6763A"/>
    <w:rsid w:val="00F67C56"/>
    <w:rsid w:val="00F81A8A"/>
    <w:rsid w:val="00F82786"/>
    <w:rsid w:val="00F84EFB"/>
    <w:rsid w:val="00F876FE"/>
    <w:rsid w:val="00F9007A"/>
    <w:rsid w:val="00F9019B"/>
    <w:rsid w:val="00F92F43"/>
    <w:rsid w:val="00F9428E"/>
    <w:rsid w:val="00FA024E"/>
    <w:rsid w:val="00FA64B0"/>
    <w:rsid w:val="00FA7083"/>
    <w:rsid w:val="00FB1925"/>
    <w:rsid w:val="00FB2E18"/>
    <w:rsid w:val="00FB59AE"/>
    <w:rsid w:val="00FC0C08"/>
    <w:rsid w:val="00FC587E"/>
    <w:rsid w:val="00FC65CC"/>
    <w:rsid w:val="00FC665C"/>
    <w:rsid w:val="00FD2680"/>
    <w:rsid w:val="00FD33FE"/>
    <w:rsid w:val="00FE0033"/>
    <w:rsid w:val="00FE0687"/>
    <w:rsid w:val="00FE0A71"/>
    <w:rsid w:val="00FE4130"/>
    <w:rsid w:val="00FE67D8"/>
    <w:rsid w:val="00FE798B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40AE9"/>
  <w15:docId w15:val="{590E80AE-E496-4F69-8292-3669F651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417C3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2"/>
      <w:szCs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E737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65178"/>
    <w:rPr>
      <w:b/>
      <w:bCs/>
    </w:rPr>
  </w:style>
  <w:style w:type="character" w:customStyle="1" w:styleId="10">
    <w:name w:val="标题 1 字符"/>
    <w:basedOn w:val="a0"/>
    <w:link w:val="1"/>
    <w:uiPriority w:val="9"/>
    <w:rsid w:val="00417C3D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Revision"/>
    <w:hidden/>
    <w:uiPriority w:val="99"/>
    <w:semiHidden/>
    <w:rsid w:val="00C3530F"/>
    <w:rPr>
      <w:kern w:val="2"/>
      <w:sz w:val="21"/>
      <w:szCs w:val="22"/>
    </w:rPr>
  </w:style>
  <w:style w:type="paragraph" w:customStyle="1" w:styleId="Style6">
    <w:name w:val="_Style 6"/>
    <w:basedOn w:val="a"/>
    <w:uiPriority w:val="34"/>
    <w:qFormat/>
    <w:rsid w:val="00E56919"/>
    <w:pPr>
      <w:ind w:firstLineChars="200" w:firstLine="420"/>
    </w:pPr>
    <w:rPr>
      <w:rFonts w:ascii="Calibri" w:eastAsia="宋体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082DD3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082DD3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082DD3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2DD3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082DD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403</Words>
  <Characters>425</Characters>
  <Application>Microsoft Office Word</Application>
  <DocSecurity>0</DocSecurity>
  <Lines>42</Lines>
  <Paragraphs>37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wujingjing</dc:creator>
  <cp:lastModifiedBy>wujingjing</cp:lastModifiedBy>
  <cp:revision>3</cp:revision>
  <cp:lastPrinted>2025-05-15T08:33:00Z</cp:lastPrinted>
  <dcterms:created xsi:type="dcterms:W3CDTF">2025-06-12T06:49:00Z</dcterms:created>
  <dcterms:modified xsi:type="dcterms:W3CDTF">2025-06-12T07:19:00Z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