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32D20">
      <w:pPr>
        <w:widowControl/>
        <w:spacing w:before="156" w:after="156" w:line="400" w:lineRule="atLeast"/>
        <w:rPr>
          <w:rFonts w:ascii="宋体" w:cs="宋体"/>
          <w:b/>
          <w:kern w:val="0"/>
          <w:sz w:val="24"/>
          <w:szCs w:val="28"/>
        </w:rPr>
      </w:pPr>
      <w:r>
        <w:rPr>
          <w:rFonts w:hint="eastAsia" w:ascii="宋体" w:hAnsi="宋体" w:cs="宋体"/>
          <w:b/>
          <w:kern w:val="0"/>
          <w:sz w:val="24"/>
          <w:szCs w:val="28"/>
        </w:rPr>
        <w:t>证券代码：</w:t>
      </w:r>
      <w:r>
        <w:rPr>
          <w:rFonts w:ascii="Times New Roman" w:hAnsi="Times New Roman"/>
          <w:b/>
          <w:kern w:val="0"/>
          <w:sz w:val="24"/>
          <w:szCs w:val="28"/>
        </w:rPr>
        <w:t>603389</w:t>
      </w:r>
      <w:r>
        <w:rPr>
          <w:rFonts w:hint="eastAsia" w:ascii="宋体" w:hAnsi="宋体" w:cs="宋体"/>
          <w:b/>
          <w:kern w:val="0"/>
          <w:sz w:val="24"/>
          <w:szCs w:val="28"/>
        </w:rPr>
        <w:t xml:space="preserve">                                  证券简称：</w:t>
      </w:r>
      <w:r>
        <w:rPr>
          <w:rFonts w:ascii="Times New Roman" w:hAnsi="Times New Roman"/>
          <w:b/>
          <w:kern w:val="0"/>
          <w:sz w:val="24"/>
          <w:szCs w:val="28"/>
        </w:rPr>
        <w:t>*ST亚</w:t>
      </w:r>
      <w:r>
        <w:rPr>
          <w:rFonts w:hint="eastAsia" w:ascii="宋体" w:hAnsi="宋体" w:cs="宋体"/>
          <w:b/>
          <w:kern w:val="0"/>
          <w:sz w:val="24"/>
          <w:szCs w:val="28"/>
        </w:rPr>
        <w:t>振</w:t>
      </w:r>
    </w:p>
    <w:p w14:paraId="34D4AED0">
      <w:pPr>
        <w:widowControl/>
        <w:jc w:val="center"/>
        <w:rPr>
          <w:rFonts w:ascii="宋体" w:hAnsi="宋体" w:cs="宋体"/>
          <w:b/>
          <w:bCs/>
          <w:color w:val="FF0000"/>
          <w:kern w:val="0"/>
          <w:sz w:val="36"/>
          <w:szCs w:val="36"/>
        </w:rPr>
      </w:pPr>
      <w:r>
        <w:rPr>
          <w:rFonts w:hint="eastAsia" w:ascii="宋体" w:hAnsi="宋体" w:cs="宋体"/>
          <w:b/>
          <w:bCs/>
          <w:color w:val="FF0000"/>
          <w:kern w:val="0"/>
          <w:sz w:val="36"/>
          <w:szCs w:val="36"/>
        </w:rPr>
        <w:t>亚振家居股份有限公司</w:t>
      </w:r>
    </w:p>
    <w:p w14:paraId="1AF133D7">
      <w:pPr>
        <w:widowControl/>
        <w:jc w:val="center"/>
        <w:rPr>
          <w:rFonts w:ascii="宋体" w:cs="宋体"/>
          <w:b/>
          <w:bCs/>
          <w:color w:val="FF0000"/>
          <w:kern w:val="0"/>
          <w:sz w:val="36"/>
          <w:szCs w:val="36"/>
        </w:rPr>
      </w:pPr>
      <w:r>
        <w:rPr>
          <w:rFonts w:hint="eastAsia" w:ascii="宋体" w:hAnsi="宋体" w:cs="宋体"/>
          <w:b/>
          <w:bCs/>
          <w:color w:val="FF0000"/>
          <w:kern w:val="0"/>
          <w:sz w:val="36"/>
          <w:szCs w:val="36"/>
        </w:rPr>
        <w:t>投资者关系活动记录表</w:t>
      </w:r>
    </w:p>
    <w:p w14:paraId="21A2CA61">
      <w:pPr>
        <w:widowControl/>
        <w:spacing w:after="156" w:afterLines="50" w:line="400" w:lineRule="atLeast"/>
        <w:rPr>
          <w:rFonts w:ascii="Times New Roman" w:hAnsi="Times New Roman"/>
          <w:kern w:val="0"/>
          <w:sz w:val="24"/>
        </w:rPr>
      </w:pPr>
    </w:p>
    <w:tbl>
      <w:tblPr>
        <w:tblStyle w:val="8"/>
        <w:tblW w:w="0" w:type="auto"/>
        <w:tblInd w:w="0" w:type="dxa"/>
        <w:tblLayout w:type="fixed"/>
        <w:tblCellMar>
          <w:top w:w="0" w:type="dxa"/>
          <w:left w:w="108" w:type="dxa"/>
          <w:bottom w:w="0" w:type="dxa"/>
          <w:right w:w="108" w:type="dxa"/>
        </w:tblCellMar>
      </w:tblPr>
      <w:tblGrid>
        <w:gridCol w:w="1951"/>
        <w:gridCol w:w="3285"/>
        <w:gridCol w:w="3286"/>
      </w:tblGrid>
      <w:tr w14:paraId="74E87008">
        <w:tblPrEx>
          <w:tblCellMar>
            <w:top w:w="0" w:type="dxa"/>
            <w:left w:w="108" w:type="dxa"/>
            <w:bottom w:w="0" w:type="dxa"/>
            <w:right w:w="108" w:type="dxa"/>
          </w:tblCellMar>
        </w:tblPrEx>
        <w:trPr>
          <w:trHeight w:val="374" w:hRule="atLeast"/>
        </w:trPr>
        <w:tc>
          <w:tcPr>
            <w:tcW w:w="1951" w:type="dxa"/>
            <w:vMerge w:val="restart"/>
            <w:tcBorders>
              <w:top w:val="single" w:color="000000" w:sz="4" w:space="0"/>
              <w:left w:val="single" w:color="000000" w:sz="4" w:space="0"/>
              <w:right w:val="single" w:color="000000" w:sz="4" w:space="0"/>
            </w:tcBorders>
            <w:vAlign w:val="center"/>
          </w:tcPr>
          <w:p w14:paraId="154F461A">
            <w:pPr>
              <w:widowControl/>
              <w:spacing w:line="360" w:lineRule="auto"/>
              <w:jc w:val="center"/>
              <w:rPr>
                <w:rFonts w:ascii="宋体" w:cs="宋体"/>
                <w:b/>
                <w:bCs/>
                <w:kern w:val="0"/>
                <w:sz w:val="24"/>
              </w:rPr>
            </w:pPr>
            <w:r>
              <w:rPr>
                <w:rFonts w:hint="eastAsia" w:ascii="宋体" w:hAnsi="宋体" w:cs="宋体"/>
                <w:b/>
                <w:bCs/>
                <w:kern w:val="0"/>
                <w:sz w:val="24"/>
              </w:rPr>
              <w:t>投资者关系活动类别</w:t>
            </w:r>
          </w:p>
        </w:tc>
        <w:tc>
          <w:tcPr>
            <w:tcW w:w="3285" w:type="dxa"/>
            <w:tcBorders>
              <w:top w:val="single" w:color="000000" w:sz="4" w:space="0"/>
              <w:left w:val="nil"/>
            </w:tcBorders>
            <w:vAlign w:val="center"/>
          </w:tcPr>
          <w:p w14:paraId="6786AC2B">
            <w:pPr>
              <w:widowControl/>
              <w:spacing w:before="156" w:beforeLines="50" w:line="360" w:lineRule="auto"/>
              <w:rPr>
                <w:rFonts w:ascii="宋体" w:cs="宋体"/>
                <w:kern w:val="0"/>
                <w:sz w:val="24"/>
                <w:szCs w:val="24"/>
              </w:rPr>
            </w:pPr>
            <w:r>
              <w:rPr>
                <w:rFonts w:hint="eastAsia" w:ascii="宋体" w:hAnsi="宋体" w:cs="宋体"/>
                <w:kern w:val="0"/>
                <w:sz w:val="24"/>
                <w:szCs w:val="24"/>
              </w:rPr>
              <w:t>□特定对象调研</w:t>
            </w:r>
          </w:p>
        </w:tc>
        <w:tc>
          <w:tcPr>
            <w:tcW w:w="3286" w:type="dxa"/>
            <w:tcBorders>
              <w:top w:val="single" w:color="000000" w:sz="4" w:space="0"/>
              <w:right w:val="single" w:color="000000" w:sz="4" w:space="0"/>
            </w:tcBorders>
            <w:vAlign w:val="center"/>
          </w:tcPr>
          <w:p w14:paraId="3F3B76E8">
            <w:pPr>
              <w:widowControl/>
              <w:spacing w:before="156" w:beforeLines="50" w:line="360" w:lineRule="auto"/>
              <w:rPr>
                <w:rFonts w:ascii="宋体" w:cs="宋体"/>
                <w:kern w:val="0"/>
                <w:sz w:val="24"/>
                <w:szCs w:val="24"/>
              </w:rPr>
            </w:pPr>
            <w:r>
              <w:rPr>
                <w:rFonts w:hint="eastAsia" w:ascii="宋体" w:hAnsi="宋体" w:cs="宋体"/>
                <w:kern w:val="0"/>
                <w:sz w:val="24"/>
                <w:szCs w:val="24"/>
              </w:rPr>
              <w:t>□分析师会议</w:t>
            </w:r>
          </w:p>
        </w:tc>
      </w:tr>
      <w:tr w14:paraId="0DD642DB">
        <w:tblPrEx>
          <w:tblCellMar>
            <w:top w:w="0" w:type="dxa"/>
            <w:left w:w="108" w:type="dxa"/>
            <w:bottom w:w="0" w:type="dxa"/>
            <w:right w:w="108" w:type="dxa"/>
          </w:tblCellMar>
        </w:tblPrEx>
        <w:trPr>
          <w:trHeight w:val="374" w:hRule="atLeast"/>
        </w:trPr>
        <w:tc>
          <w:tcPr>
            <w:tcW w:w="1951" w:type="dxa"/>
            <w:vMerge w:val="continue"/>
            <w:tcBorders>
              <w:left w:val="single" w:color="000000" w:sz="4" w:space="0"/>
              <w:right w:val="single" w:color="000000" w:sz="4" w:space="0"/>
            </w:tcBorders>
            <w:vAlign w:val="center"/>
          </w:tcPr>
          <w:p w14:paraId="6980515C">
            <w:pPr>
              <w:widowControl/>
              <w:jc w:val="center"/>
              <w:rPr>
                <w:rFonts w:ascii="宋体" w:hAnsi="宋体" w:cs="宋体"/>
                <w:b/>
                <w:bCs/>
                <w:kern w:val="0"/>
                <w:sz w:val="24"/>
              </w:rPr>
            </w:pPr>
          </w:p>
        </w:tc>
        <w:tc>
          <w:tcPr>
            <w:tcW w:w="3285" w:type="dxa"/>
            <w:tcBorders>
              <w:left w:val="nil"/>
            </w:tcBorders>
            <w:vAlign w:val="center"/>
          </w:tcPr>
          <w:p w14:paraId="2244CEA2">
            <w:pPr>
              <w:widowControl/>
              <w:spacing w:before="156" w:beforeLines="50" w:line="360" w:lineRule="auto"/>
              <w:rPr>
                <w:rFonts w:ascii="宋体" w:hAnsi="宋体" w:cs="宋体"/>
                <w:kern w:val="0"/>
                <w:sz w:val="24"/>
                <w:szCs w:val="24"/>
              </w:rPr>
            </w:pPr>
            <w:r>
              <w:rPr>
                <w:rFonts w:hint="eastAsia" w:ascii="宋体" w:hAnsi="宋体" w:cs="宋体"/>
                <w:kern w:val="0"/>
                <w:sz w:val="24"/>
                <w:szCs w:val="24"/>
              </w:rPr>
              <w:t>□新闻发布会</w:t>
            </w:r>
          </w:p>
        </w:tc>
        <w:tc>
          <w:tcPr>
            <w:tcW w:w="3286" w:type="dxa"/>
            <w:tcBorders>
              <w:right w:val="single" w:color="000000" w:sz="4" w:space="0"/>
            </w:tcBorders>
            <w:vAlign w:val="center"/>
          </w:tcPr>
          <w:p w14:paraId="3D232DDF">
            <w:pPr>
              <w:widowControl/>
              <w:spacing w:before="156" w:beforeLines="50" w:line="360" w:lineRule="auto"/>
              <w:rPr>
                <w:rFonts w:ascii="宋体" w:hAnsi="宋体" w:cs="宋体"/>
                <w:kern w:val="0"/>
                <w:sz w:val="24"/>
                <w:szCs w:val="24"/>
              </w:rPr>
            </w:pPr>
            <w:r>
              <w:rPr>
                <w:rFonts w:ascii="Times New Roman" w:hAnsi="Times New Roman"/>
                <w:kern w:val="0"/>
                <w:sz w:val="24"/>
                <w:szCs w:val="24"/>
              </w:rPr>
              <w:sym w:font="Wingdings 2" w:char="F052"/>
            </w:r>
            <w:r>
              <w:rPr>
                <w:rFonts w:hint="eastAsia" w:ascii="宋体" w:hAnsi="宋体" w:cs="宋体"/>
                <w:kern w:val="0"/>
                <w:sz w:val="24"/>
                <w:szCs w:val="24"/>
              </w:rPr>
              <w:t>业绩说明会</w:t>
            </w:r>
          </w:p>
        </w:tc>
      </w:tr>
      <w:tr w14:paraId="5FEAD1D4">
        <w:tblPrEx>
          <w:tblCellMar>
            <w:top w:w="0" w:type="dxa"/>
            <w:left w:w="108" w:type="dxa"/>
            <w:bottom w:w="0" w:type="dxa"/>
            <w:right w:w="108" w:type="dxa"/>
          </w:tblCellMar>
        </w:tblPrEx>
        <w:trPr>
          <w:trHeight w:val="374" w:hRule="atLeast"/>
        </w:trPr>
        <w:tc>
          <w:tcPr>
            <w:tcW w:w="1951" w:type="dxa"/>
            <w:vMerge w:val="continue"/>
            <w:tcBorders>
              <w:left w:val="single" w:color="000000" w:sz="4" w:space="0"/>
              <w:right w:val="single" w:color="000000" w:sz="4" w:space="0"/>
            </w:tcBorders>
            <w:vAlign w:val="center"/>
          </w:tcPr>
          <w:p w14:paraId="085BF05C">
            <w:pPr>
              <w:widowControl/>
              <w:jc w:val="center"/>
              <w:rPr>
                <w:rFonts w:ascii="宋体" w:hAnsi="宋体" w:cs="宋体"/>
                <w:b/>
                <w:bCs/>
                <w:kern w:val="0"/>
                <w:sz w:val="24"/>
              </w:rPr>
            </w:pPr>
          </w:p>
        </w:tc>
        <w:tc>
          <w:tcPr>
            <w:tcW w:w="3285" w:type="dxa"/>
            <w:tcBorders>
              <w:left w:val="nil"/>
            </w:tcBorders>
            <w:vAlign w:val="center"/>
          </w:tcPr>
          <w:p w14:paraId="6DC9C453">
            <w:pPr>
              <w:widowControl/>
              <w:spacing w:before="156" w:beforeLines="50" w:line="360" w:lineRule="auto"/>
              <w:rPr>
                <w:rFonts w:ascii="宋体" w:hAnsi="宋体" w:cs="宋体"/>
                <w:kern w:val="0"/>
                <w:sz w:val="24"/>
                <w:szCs w:val="24"/>
              </w:rPr>
            </w:pPr>
            <w:r>
              <w:rPr>
                <w:rFonts w:hint="eastAsia" w:ascii="宋体" w:hAnsi="宋体" w:cs="宋体"/>
                <w:kern w:val="0"/>
                <w:sz w:val="24"/>
                <w:szCs w:val="24"/>
              </w:rPr>
              <w:t>□媒体采访</w:t>
            </w:r>
          </w:p>
        </w:tc>
        <w:tc>
          <w:tcPr>
            <w:tcW w:w="3286" w:type="dxa"/>
            <w:tcBorders>
              <w:right w:val="single" w:color="000000" w:sz="4" w:space="0"/>
            </w:tcBorders>
            <w:vAlign w:val="center"/>
          </w:tcPr>
          <w:p w14:paraId="25D09402">
            <w:pPr>
              <w:widowControl/>
              <w:spacing w:before="156" w:beforeLines="50" w:line="360" w:lineRule="auto"/>
              <w:rPr>
                <w:rFonts w:ascii="宋体" w:cs="宋体"/>
                <w:kern w:val="0"/>
                <w:sz w:val="24"/>
                <w:szCs w:val="24"/>
              </w:rPr>
            </w:pPr>
            <w:r>
              <w:rPr>
                <w:rFonts w:hint="eastAsia" w:ascii="宋体" w:hAnsi="宋体" w:cs="宋体"/>
                <w:kern w:val="0"/>
                <w:sz w:val="24"/>
                <w:szCs w:val="24"/>
              </w:rPr>
              <w:t>□路演活动</w:t>
            </w:r>
          </w:p>
        </w:tc>
      </w:tr>
      <w:tr w14:paraId="275650C3">
        <w:tblPrEx>
          <w:tblCellMar>
            <w:top w:w="0" w:type="dxa"/>
            <w:left w:w="108" w:type="dxa"/>
            <w:bottom w:w="0" w:type="dxa"/>
            <w:right w:w="108" w:type="dxa"/>
          </w:tblCellMar>
        </w:tblPrEx>
        <w:trPr>
          <w:trHeight w:val="374" w:hRule="atLeast"/>
        </w:trPr>
        <w:tc>
          <w:tcPr>
            <w:tcW w:w="1951" w:type="dxa"/>
            <w:vMerge w:val="continue"/>
            <w:tcBorders>
              <w:left w:val="single" w:color="000000" w:sz="4" w:space="0"/>
              <w:bottom w:val="single" w:color="000000" w:sz="4" w:space="0"/>
              <w:right w:val="single" w:color="000000" w:sz="4" w:space="0"/>
            </w:tcBorders>
            <w:vAlign w:val="center"/>
          </w:tcPr>
          <w:p w14:paraId="07AFD05F">
            <w:pPr>
              <w:widowControl/>
              <w:jc w:val="center"/>
              <w:rPr>
                <w:rFonts w:ascii="宋体" w:hAnsi="宋体" w:cs="宋体"/>
                <w:b/>
                <w:bCs/>
                <w:kern w:val="0"/>
                <w:sz w:val="24"/>
              </w:rPr>
            </w:pPr>
          </w:p>
        </w:tc>
        <w:tc>
          <w:tcPr>
            <w:tcW w:w="3285" w:type="dxa"/>
            <w:tcBorders>
              <w:left w:val="nil"/>
              <w:bottom w:val="single" w:color="000000" w:sz="4" w:space="0"/>
            </w:tcBorders>
            <w:vAlign w:val="center"/>
          </w:tcPr>
          <w:p w14:paraId="0E612A12">
            <w:pPr>
              <w:widowControl/>
              <w:spacing w:before="156" w:beforeLines="50" w:line="360" w:lineRule="auto"/>
              <w:rPr>
                <w:rFonts w:ascii="宋体" w:hAnsi="宋体" w:cs="宋体"/>
                <w:kern w:val="0"/>
                <w:sz w:val="24"/>
                <w:szCs w:val="24"/>
              </w:rPr>
            </w:pPr>
            <w:r>
              <w:rPr>
                <w:rFonts w:hint="eastAsia" w:ascii="宋体" w:hAnsi="宋体" w:cs="宋体"/>
                <w:kern w:val="0"/>
                <w:sz w:val="24"/>
                <w:szCs w:val="24"/>
              </w:rPr>
              <w:t>□现场参观</w:t>
            </w:r>
            <w:r>
              <w:rPr>
                <w:rFonts w:ascii="宋体" w:cs="宋体"/>
                <w:kern w:val="0"/>
                <w:sz w:val="24"/>
                <w:szCs w:val="24"/>
              </w:rPr>
              <w:tab/>
            </w:r>
          </w:p>
        </w:tc>
        <w:tc>
          <w:tcPr>
            <w:tcW w:w="3286" w:type="dxa"/>
            <w:tcBorders>
              <w:bottom w:val="single" w:color="000000" w:sz="4" w:space="0"/>
              <w:right w:val="single" w:color="000000" w:sz="4" w:space="0"/>
            </w:tcBorders>
            <w:vAlign w:val="center"/>
          </w:tcPr>
          <w:p w14:paraId="55B899F2">
            <w:pPr>
              <w:widowControl/>
              <w:spacing w:before="156" w:beforeLines="50" w:line="360" w:lineRule="auto"/>
              <w:rPr>
                <w:rFonts w:ascii="宋体" w:hAnsi="宋体" w:cs="宋体"/>
                <w:kern w:val="0"/>
                <w:sz w:val="24"/>
                <w:szCs w:val="24"/>
              </w:rPr>
            </w:pPr>
            <w:r>
              <w:rPr>
                <w:rFonts w:hint="eastAsia" w:ascii="宋体" w:hAnsi="宋体" w:cs="宋体"/>
                <w:kern w:val="0"/>
                <w:sz w:val="24"/>
                <w:szCs w:val="24"/>
              </w:rPr>
              <w:t>□其他</w:t>
            </w:r>
            <w:r>
              <w:rPr>
                <w:rFonts w:hint="eastAsia" w:ascii="宋体" w:hAnsi="宋体" w:cs="宋体"/>
                <w:kern w:val="0"/>
                <w:sz w:val="24"/>
                <w:szCs w:val="24"/>
                <w:u w:val="single"/>
              </w:rPr>
              <w:t>______________</w:t>
            </w:r>
          </w:p>
        </w:tc>
      </w:tr>
      <w:tr w14:paraId="6828C524">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1A12E012">
            <w:pPr>
              <w:widowControl/>
              <w:spacing w:before="156" w:beforeLines="50" w:line="360" w:lineRule="auto"/>
              <w:jc w:val="center"/>
              <w:rPr>
                <w:rFonts w:ascii="宋体" w:cs="宋体"/>
                <w:b/>
                <w:bCs/>
                <w:kern w:val="0"/>
                <w:sz w:val="24"/>
              </w:rPr>
            </w:pPr>
            <w:r>
              <w:rPr>
                <w:rFonts w:hint="eastAsia" w:ascii="宋体" w:hAnsi="宋体" w:cs="宋体"/>
                <w:b/>
                <w:bCs/>
                <w:kern w:val="0"/>
                <w:sz w:val="24"/>
              </w:rPr>
              <w:t>活动名称</w:t>
            </w:r>
          </w:p>
        </w:tc>
        <w:tc>
          <w:tcPr>
            <w:tcW w:w="6571" w:type="dxa"/>
            <w:gridSpan w:val="2"/>
            <w:tcBorders>
              <w:top w:val="single" w:color="000000" w:sz="4" w:space="0"/>
              <w:left w:val="nil"/>
              <w:bottom w:val="single" w:color="000000" w:sz="4" w:space="0"/>
              <w:right w:val="single" w:color="000000" w:sz="4" w:space="0"/>
            </w:tcBorders>
            <w:vAlign w:val="center"/>
          </w:tcPr>
          <w:p w14:paraId="0F017DF0">
            <w:pPr>
              <w:spacing w:before="156" w:beforeLines="50" w:line="360" w:lineRule="auto"/>
              <w:rPr>
                <w:sz w:val="24"/>
                <w:szCs w:val="24"/>
              </w:rPr>
            </w:pPr>
            <w:r>
              <w:rPr>
                <w:rFonts w:ascii="Times New Roman" w:hAnsi="Times New Roman"/>
                <w:sz w:val="24"/>
                <w:szCs w:val="24"/>
              </w:rPr>
              <w:t>*ST</w:t>
            </w:r>
            <w:r>
              <w:rPr>
                <w:rFonts w:hint="eastAsia"/>
                <w:sz w:val="24"/>
                <w:szCs w:val="24"/>
              </w:rPr>
              <w:t>亚振</w:t>
            </w:r>
            <w:r>
              <w:rPr>
                <w:rFonts w:ascii="Times New Roman" w:hAnsi="Times New Roman"/>
                <w:sz w:val="24"/>
                <w:szCs w:val="24"/>
              </w:rPr>
              <w:t>202</w:t>
            </w:r>
            <w:r>
              <w:rPr>
                <w:rFonts w:hint="eastAsia" w:ascii="Times New Roman" w:hAnsi="Times New Roman"/>
                <w:sz w:val="24"/>
                <w:szCs w:val="24"/>
              </w:rPr>
              <w:t>4</w:t>
            </w:r>
            <w:r>
              <w:rPr>
                <w:rFonts w:hint="eastAsia"/>
                <w:sz w:val="24"/>
                <w:szCs w:val="24"/>
              </w:rPr>
              <w:t>年度暨</w:t>
            </w:r>
            <w:r>
              <w:rPr>
                <w:rFonts w:ascii="Times New Roman" w:hAnsi="Times New Roman"/>
                <w:sz w:val="24"/>
                <w:szCs w:val="24"/>
              </w:rPr>
              <w:t>202</w:t>
            </w:r>
            <w:r>
              <w:rPr>
                <w:rFonts w:hint="eastAsia" w:ascii="Times New Roman" w:hAnsi="Times New Roman"/>
                <w:sz w:val="24"/>
                <w:szCs w:val="24"/>
              </w:rPr>
              <w:t>5</w:t>
            </w:r>
            <w:r>
              <w:rPr>
                <w:rFonts w:hint="eastAsia"/>
                <w:sz w:val="24"/>
                <w:szCs w:val="24"/>
              </w:rPr>
              <w:t>年第一季度业绩说明会</w:t>
            </w:r>
          </w:p>
        </w:tc>
      </w:tr>
      <w:tr w14:paraId="011A1797">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6F0F66A6">
            <w:pPr>
              <w:widowControl/>
              <w:spacing w:before="156" w:beforeLines="50" w:line="360" w:lineRule="auto"/>
              <w:jc w:val="center"/>
              <w:rPr>
                <w:rFonts w:ascii="宋体" w:cs="宋体"/>
                <w:b/>
                <w:bCs/>
                <w:kern w:val="0"/>
                <w:sz w:val="24"/>
              </w:rPr>
            </w:pPr>
            <w:r>
              <w:rPr>
                <w:rFonts w:hint="eastAsia" w:ascii="宋体" w:hAnsi="宋体" w:cs="宋体"/>
                <w:b/>
                <w:bCs/>
                <w:kern w:val="0"/>
                <w:sz w:val="24"/>
              </w:rPr>
              <w:t>时间</w:t>
            </w:r>
          </w:p>
        </w:tc>
        <w:tc>
          <w:tcPr>
            <w:tcW w:w="6571" w:type="dxa"/>
            <w:gridSpan w:val="2"/>
            <w:tcBorders>
              <w:top w:val="single" w:color="000000" w:sz="4" w:space="0"/>
              <w:left w:val="nil"/>
              <w:bottom w:val="single" w:color="000000" w:sz="4" w:space="0"/>
              <w:right w:val="single" w:color="000000" w:sz="4" w:space="0"/>
            </w:tcBorders>
            <w:vAlign w:val="center"/>
          </w:tcPr>
          <w:p w14:paraId="74040CDD">
            <w:pPr>
              <w:widowControl/>
              <w:spacing w:before="156" w:beforeLines="50" w:line="360" w:lineRule="auto"/>
              <w:rPr>
                <w:rFonts w:ascii="宋体" w:hAnsi="宋体"/>
                <w:sz w:val="24"/>
                <w:szCs w:val="24"/>
              </w:rPr>
            </w:pPr>
            <w:r>
              <w:rPr>
                <w:rFonts w:ascii="Times New Roman" w:hAnsi="Times New Roman"/>
                <w:sz w:val="24"/>
                <w:szCs w:val="24"/>
              </w:rPr>
              <w:t>202</w:t>
            </w:r>
            <w:r>
              <w:rPr>
                <w:rFonts w:hint="eastAsia" w:ascii="Times New Roman" w:hAnsi="Times New Roman"/>
                <w:sz w:val="24"/>
                <w:szCs w:val="24"/>
              </w:rPr>
              <w:t>5</w:t>
            </w:r>
            <w:r>
              <w:rPr>
                <w:rFonts w:ascii="Times New Roman" w:hAnsi="Times New Roman"/>
                <w:sz w:val="24"/>
                <w:szCs w:val="24"/>
              </w:rPr>
              <w:t>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12</w:t>
            </w:r>
            <w:r>
              <w:rPr>
                <w:rFonts w:hint="eastAsia" w:ascii="宋体" w:hAnsi="宋体"/>
                <w:sz w:val="24"/>
                <w:szCs w:val="24"/>
              </w:rPr>
              <w:t>日（星期四）下午</w:t>
            </w:r>
            <w:r>
              <w:rPr>
                <w:rFonts w:ascii="Times New Roman" w:hAnsi="Times New Roman"/>
                <w:sz w:val="24"/>
                <w:szCs w:val="24"/>
              </w:rPr>
              <w:t>13:00-14:00</w:t>
            </w:r>
          </w:p>
        </w:tc>
      </w:tr>
      <w:tr w14:paraId="458BEB02">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4A17A0ED">
            <w:pPr>
              <w:widowControl/>
              <w:spacing w:before="156" w:beforeLines="50" w:line="360" w:lineRule="auto"/>
              <w:jc w:val="center"/>
              <w:rPr>
                <w:rFonts w:ascii="宋体" w:cs="宋体"/>
                <w:b/>
                <w:bCs/>
                <w:kern w:val="0"/>
                <w:sz w:val="24"/>
              </w:rPr>
            </w:pPr>
            <w:r>
              <w:rPr>
                <w:rFonts w:hint="eastAsia" w:ascii="宋体" w:hAnsi="宋体" w:cs="宋体"/>
                <w:b/>
                <w:bCs/>
                <w:kern w:val="0"/>
                <w:sz w:val="24"/>
              </w:rPr>
              <w:t>地点</w:t>
            </w:r>
          </w:p>
        </w:tc>
        <w:tc>
          <w:tcPr>
            <w:tcW w:w="6571" w:type="dxa"/>
            <w:gridSpan w:val="2"/>
            <w:tcBorders>
              <w:top w:val="single" w:color="000000" w:sz="4" w:space="0"/>
              <w:left w:val="nil"/>
              <w:bottom w:val="single" w:color="000000" w:sz="4" w:space="0"/>
              <w:right w:val="single" w:color="000000" w:sz="4" w:space="0"/>
            </w:tcBorders>
            <w:vAlign w:val="center"/>
          </w:tcPr>
          <w:p w14:paraId="273A9E98">
            <w:pPr>
              <w:widowControl/>
              <w:spacing w:before="156" w:beforeLines="50" w:line="360" w:lineRule="auto"/>
              <w:rPr>
                <w:rFonts w:ascii="宋体" w:hAnsi="宋体"/>
                <w:sz w:val="24"/>
                <w:szCs w:val="24"/>
              </w:rPr>
            </w:pPr>
            <w:r>
              <w:rPr>
                <w:rFonts w:hint="eastAsia" w:ascii="宋体" w:hAnsi="宋体"/>
                <w:sz w:val="24"/>
                <w:szCs w:val="24"/>
              </w:rPr>
              <w:t>上证路演中心</w:t>
            </w:r>
          </w:p>
          <w:p w14:paraId="244AB218">
            <w:pPr>
              <w:widowControl/>
              <w:spacing w:before="156" w:beforeLines="50" w:line="360" w:lineRule="auto"/>
              <w:rPr>
                <w:rFonts w:ascii="宋体" w:hAnsi="宋体"/>
                <w:sz w:val="28"/>
                <w:szCs w:val="28"/>
              </w:rPr>
            </w:pPr>
            <w:r>
              <w:rPr>
                <w:rFonts w:hint="eastAsia" w:ascii="宋体" w:hAnsi="宋体"/>
                <w:sz w:val="24"/>
                <w:szCs w:val="24"/>
              </w:rPr>
              <w:t>网址：</w:t>
            </w:r>
            <w:r>
              <w:rPr>
                <w:rFonts w:ascii="Times New Roman" w:hAnsi="Times New Roman"/>
                <w:bCs/>
                <w:sz w:val="24"/>
              </w:rPr>
              <w:t>https://roadshow.sseinfo.com/</w:t>
            </w:r>
          </w:p>
        </w:tc>
      </w:tr>
      <w:tr w14:paraId="56C471B8">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4C02B989">
            <w:pPr>
              <w:widowControl/>
              <w:spacing w:before="156" w:beforeLines="50" w:line="360" w:lineRule="auto"/>
              <w:jc w:val="center"/>
              <w:rPr>
                <w:rFonts w:ascii="宋体" w:hAnsi="宋体" w:cs="宋体"/>
                <w:b/>
                <w:bCs/>
                <w:kern w:val="0"/>
                <w:sz w:val="24"/>
              </w:rPr>
            </w:pPr>
            <w:r>
              <w:rPr>
                <w:rFonts w:hint="eastAsia" w:ascii="宋体" w:hAnsi="宋体" w:cs="宋体"/>
                <w:b/>
                <w:bCs/>
                <w:kern w:val="0"/>
                <w:sz w:val="24"/>
              </w:rPr>
              <w:t>形式</w:t>
            </w:r>
          </w:p>
        </w:tc>
        <w:tc>
          <w:tcPr>
            <w:tcW w:w="6571" w:type="dxa"/>
            <w:gridSpan w:val="2"/>
            <w:tcBorders>
              <w:top w:val="single" w:color="000000" w:sz="4" w:space="0"/>
              <w:left w:val="nil"/>
              <w:bottom w:val="single" w:color="000000" w:sz="4" w:space="0"/>
              <w:right w:val="single" w:color="000000" w:sz="4" w:space="0"/>
            </w:tcBorders>
            <w:vAlign w:val="center"/>
          </w:tcPr>
          <w:p w14:paraId="1570D56E">
            <w:pPr>
              <w:widowControl/>
              <w:spacing w:before="156" w:beforeLines="50" w:line="360" w:lineRule="auto"/>
              <w:rPr>
                <w:rFonts w:ascii="宋体" w:hAnsi="宋体"/>
                <w:sz w:val="24"/>
                <w:szCs w:val="24"/>
              </w:rPr>
            </w:pPr>
            <w:r>
              <w:rPr>
                <w:rFonts w:hint="eastAsia" w:ascii="宋体" w:hAnsi="宋体"/>
                <w:sz w:val="24"/>
                <w:szCs w:val="24"/>
              </w:rPr>
              <w:t>上证路演中心网络文字互动</w:t>
            </w:r>
          </w:p>
        </w:tc>
      </w:tr>
      <w:tr w14:paraId="44370E5D">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1C2FCE03">
            <w:pPr>
              <w:widowControl/>
              <w:spacing w:before="156" w:beforeLines="50" w:line="360" w:lineRule="auto"/>
              <w:jc w:val="center"/>
              <w:rPr>
                <w:rFonts w:ascii="宋体" w:cs="宋体"/>
                <w:b/>
                <w:bCs/>
                <w:kern w:val="0"/>
                <w:sz w:val="24"/>
              </w:rPr>
            </w:pPr>
            <w:r>
              <w:rPr>
                <w:rFonts w:hint="eastAsia" w:ascii="宋体" w:hAnsi="宋体" w:cs="宋体"/>
                <w:b/>
                <w:bCs/>
                <w:kern w:val="0"/>
                <w:sz w:val="24"/>
              </w:rPr>
              <w:t>上市公司     接待人员</w:t>
            </w:r>
          </w:p>
        </w:tc>
        <w:tc>
          <w:tcPr>
            <w:tcW w:w="6571" w:type="dxa"/>
            <w:gridSpan w:val="2"/>
            <w:tcBorders>
              <w:top w:val="single" w:color="000000" w:sz="4" w:space="0"/>
              <w:left w:val="nil"/>
              <w:bottom w:val="single" w:color="000000" w:sz="4" w:space="0"/>
              <w:right w:val="single" w:color="000000" w:sz="4" w:space="0"/>
            </w:tcBorders>
            <w:vAlign w:val="center"/>
          </w:tcPr>
          <w:p w14:paraId="31A57430">
            <w:pPr>
              <w:widowControl/>
              <w:spacing w:before="156" w:beforeLines="50" w:line="360" w:lineRule="auto"/>
              <w:rPr>
                <w:rFonts w:ascii="Times New Roman" w:hAnsi="Times New Roman"/>
                <w:sz w:val="24"/>
                <w:szCs w:val="24"/>
              </w:rPr>
            </w:pPr>
            <w:r>
              <w:rPr>
                <w:rFonts w:hint="eastAsia" w:ascii="Times New Roman" w:hAnsi="Times New Roman"/>
                <w:sz w:val="24"/>
                <w:szCs w:val="24"/>
              </w:rPr>
              <w:t>董事长：高伟先生</w:t>
            </w:r>
          </w:p>
          <w:p w14:paraId="344F1167">
            <w:pPr>
              <w:widowControl/>
              <w:spacing w:before="156" w:beforeLines="50" w:line="360" w:lineRule="auto"/>
              <w:rPr>
                <w:rFonts w:ascii="Times New Roman" w:hAnsi="Times New Roman"/>
                <w:sz w:val="24"/>
                <w:szCs w:val="24"/>
              </w:rPr>
            </w:pPr>
            <w:r>
              <w:rPr>
                <w:rFonts w:hint="eastAsia" w:ascii="Times New Roman" w:hAnsi="Times New Roman"/>
                <w:sz w:val="24"/>
                <w:szCs w:val="24"/>
              </w:rPr>
              <w:t>董事、总经理：高银楠女士</w:t>
            </w:r>
          </w:p>
          <w:p w14:paraId="71A46E59">
            <w:pPr>
              <w:widowControl/>
              <w:spacing w:before="156" w:beforeLines="50" w:line="360" w:lineRule="auto"/>
              <w:rPr>
                <w:rFonts w:ascii="Times New Roman" w:hAnsi="Times New Roman"/>
                <w:sz w:val="24"/>
                <w:szCs w:val="24"/>
              </w:rPr>
            </w:pPr>
            <w:r>
              <w:rPr>
                <w:rFonts w:hint="eastAsia" w:ascii="Times New Roman" w:hAnsi="Times New Roman"/>
                <w:sz w:val="24"/>
                <w:szCs w:val="24"/>
              </w:rPr>
              <w:t>独立董事：谢兴盛先生</w:t>
            </w:r>
          </w:p>
          <w:p w14:paraId="7D1E1D0F">
            <w:pPr>
              <w:widowControl/>
              <w:spacing w:before="156" w:beforeLines="50" w:line="360" w:lineRule="auto"/>
              <w:rPr>
                <w:rFonts w:ascii="Times New Roman" w:hAnsi="Times New Roman"/>
                <w:sz w:val="24"/>
                <w:szCs w:val="24"/>
              </w:rPr>
            </w:pPr>
            <w:r>
              <w:rPr>
                <w:rFonts w:hint="eastAsia" w:ascii="Times New Roman" w:hAnsi="Times New Roman"/>
                <w:sz w:val="24"/>
                <w:szCs w:val="24"/>
              </w:rPr>
              <w:t>独立董事：余继宏先生</w:t>
            </w:r>
          </w:p>
          <w:p w14:paraId="0AC34A7A">
            <w:pPr>
              <w:widowControl/>
              <w:spacing w:before="156" w:beforeLines="50" w:line="360" w:lineRule="auto"/>
              <w:rPr>
                <w:rFonts w:ascii="宋体" w:hAnsi="宋体"/>
                <w:sz w:val="24"/>
                <w:szCs w:val="24"/>
              </w:rPr>
            </w:pPr>
            <w:r>
              <w:rPr>
                <w:rFonts w:hint="eastAsia" w:ascii="Times New Roman" w:hAnsi="Times New Roman"/>
                <w:sz w:val="24"/>
                <w:szCs w:val="24"/>
              </w:rPr>
              <w:t>财务总监、董事会秘书：黄周斌先生</w:t>
            </w:r>
          </w:p>
        </w:tc>
      </w:tr>
      <w:tr w14:paraId="529D94ED">
        <w:tblPrEx>
          <w:tblCellMar>
            <w:top w:w="0" w:type="dxa"/>
            <w:left w:w="108" w:type="dxa"/>
            <w:bottom w:w="0" w:type="dxa"/>
            <w:right w:w="108" w:type="dxa"/>
          </w:tblCellMar>
        </w:tblPrEx>
        <w:trPr>
          <w:trHeight w:val="1757" w:hRule="atLeast"/>
        </w:trPr>
        <w:tc>
          <w:tcPr>
            <w:tcW w:w="1951" w:type="dxa"/>
            <w:tcBorders>
              <w:top w:val="single" w:color="000000" w:sz="4" w:space="0"/>
              <w:left w:val="single" w:color="000000" w:sz="4" w:space="0"/>
              <w:bottom w:val="single" w:color="000000" w:sz="4" w:space="0"/>
              <w:right w:val="single" w:color="000000" w:sz="4" w:space="0"/>
            </w:tcBorders>
            <w:vAlign w:val="center"/>
          </w:tcPr>
          <w:p w14:paraId="12E3B72C">
            <w:pPr>
              <w:widowControl/>
              <w:spacing w:before="156" w:beforeLines="50" w:line="360" w:lineRule="auto"/>
              <w:jc w:val="center"/>
              <w:rPr>
                <w:rFonts w:ascii="宋体" w:cs="宋体"/>
                <w:b/>
                <w:bCs/>
                <w:kern w:val="0"/>
                <w:sz w:val="24"/>
              </w:rPr>
            </w:pPr>
            <w:r>
              <w:rPr>
                <w:rFonts w:hint="eastAsia" w:ascii="宋体" w:hAnsi="宋体" w:cs="宋体"/>
                <w:b/>
                <w:bCs/>
                <w:kern w:val="0"/>
                <w:sz w:val="24"/>
              </w:rPr>
              <w:t>投资者关系活动主要内容介绍</w:t>
            </w:r>
          </w:p>
        </w:tc>
        <w:tc>
          <w:tcPr>
            <w:tcW w:w="6571" w:type="dxa"/>
            <w:gridSpan w:val="2"/>
            <w:tcBorders>
              <w:top w:val="single" w:color="000000" w:sz="4" w:space="0"/>
              <w:left w:val="nil"/>
              <w:bottom w:val="single" w:color="000000" w:sz="4" w:space="0"/>
              <w:right w:val="single" w:color="000000" w:sz="4" w:space="0"/>
            </w:tcBorders>
            <w:vAlign w:val="center"/>
          </w:tcPr>
          <w:p w14:paraId="0B421787">
            <w:pPr>
              <w:widowControl/>
              <w:spacing w:before="156" w:beforeLines="50" w:line="360" w:lineRule="auto"/>
              <w:rPr>
                <w:rFonts w:ascii="宋体" w:hAnsi="宋体"/>
                <w:sz w:val="24"/>
                <w:szCs w:val="24"/>
              </w:rPr>
            </w:pPr>
            <w:r>
              <w:rPr>
                <w:rFonts w:hint="eastAsia" w:ascii="宋体" w:hAnsi="宋体"/>
                <w:sz w:val="24"/>
                <w:szCs w:val="24"/>
              </w:rPr>
              <w:t>网络互动环节：</w:t>
            </w:r>
          </w:p>
          <w:p w14:paraId="4557BA6F">
            <w:pPr>
              <w:spacing w:line="360" w:lineRule="auto"/>
              <w:ind w:firstLine="480" w:firstLineChars="200"/>
              <w:rPr>
                <w:rFonts w:ascii="Times New Roman" w:hAnsi="Times New Roman"/>
                <w:sz w:val="24"/>
                <w:szCs w:val="24"/>
              </w:rPr>
            </w:pPr>
            <w:r>
              <w:rPr>
                <w:rFonts w:ascii="Times New Roman" w:hAnsi="Times New Roman"/>
                <w:sz w:val="24"/>
                <w:szCs w:val="24"/>
              </w:rPr>
              <w:t>问题一：目前公司业绩表现不佳，请问新实控人入主，主要看重公司哪些方面？</w:t>
            </w:r>
          </w:p>
          <w:p w14:paraId="19F54E47">
            <w:pPr>
              <w:spacing w:line="360" w:lineRule="auto"/>
              <w:ind w:firstLine="480" w:firstLineChars="200"/>
              <w:rPr>
                <w:rFonts w:ascii="Times New Roman" w:hAnsi="Times New Roman"/>
                <w:sz w:val="24"/>
                <w:szCs w:val="24"/>
              </w:rPr>
            </w:pPr>
            <w:r>
              <w:rPr>
                <w:rFonts w:ascii="Times New Roman" w:hAnsi="Times New Roman"/>
                <w:sz w:val="24"/>
                <w:szCs w:val="24"/>
              </w:rPr>
              <w:t>答</w:t>
            </w:r>
            <w:r>
              <w:rPr>
                <w:rFonts w:hint="eastAsia" w:ascii="Times New Roman" w:hAnsi="Times New Roman"/>
                <w:sz w:val="24"/>
                <w:szCs w:val="24"/>
              </w:rPr>
              <w:t>：</w:t>
            </w:r>
            <w:r>
              <w:rPr>
                <w:rFonts w:ascii="Times New Roman" w:hAnsi="Times New Roman"/>
                <w:sz w:val="24"/>
                <w:szCs w:val="24"/>
              </w:rPr>
              <w:t>尊敬的投资者您好，新实控人的入主，主要基于对公司长期价值的认可和对中国资本市场的信心。</w:t>
            </w:r>
          </w:p>
          <w:p w14:paraId="37499B6E">
            <w:pPr>
              <w:spacing w:line="360" w:lineRule="auto"/>
              <w:ind w:firstLine="480" w:firstLineChars="200"/>
              <w:rPr>
                <w:rFonts w:ascii="Times New Roman" w:hAnsi="Times New Roman"/>
                <w:sz w:val="24"/>
                <w:szCs w:val="24"/>
              </w:rPr>
            </w:pPr>
            <w:r>
              <w:rPr>
                <w:rFonts w:ascii="Times New Roman" w:hAnsi="Times New Roman"/>
                <w:sz w:val="24"/>
                <w:szCs w:val="24"/>
              </w:rPr>
              <w:t>问题二：控制权已发生变更，请问董事会何时会进行改组？</w:t>
            </w:r>
          </w:p>
          <w:p w14:paraId="4B017570">
            <w:pPr>
              <w:spacing w:line="360" w:lineRule="auto"/>
              <w:ind w:firstLine="480" w:firstLineChars="200"/>
              <w:rPr>
                <w:rFonts w:ascii="Times New Roman" w:hAnsi="Times New Roman"/>
                <w:sz w:val="24"/>
                <w:szCs w:val="24"/>
              </w:rPr>
            </w:pPr>
            <w:r>
              <w:rPr>
                <w:rFonts w:ascii="Times New Roman" w:hAnsi="Times New Roman"/>
                <w:sz w:val="24"/>
                <w:szCs w:val="24"/>
              </w:rPr>
              <w:t>答</w:t>
            </w:r>
            <w:r>
              <w:rPr>
                <w:rFonts w:hint="eastAsia" w:ascii="Times New Roman" w:hAnsi="Times New Roman"/>
                <w:sz w:val="24"/>
                <w:szCs w:val="24"/>
              </w:rPr>
              <w:t>：</w:t>
            </w:r>
            <w:r>
              <w:rPr>
                <w:rFonts w:ascii="Times New Roman" w:hAnsi="Times New Roman"/>
                <w:sz w:val="24"/>
                <w:szCs w:val="24"/>
              </w:rPr>
              <w:t>尊敬的投资者您好，有关公司信息以公司在上海证券交易所网站</w:t>
            </w:r>
            <w:r>
              <w:rPr>
                <w:rFonts w:hint="eastAsia" w:ascii="Times New Roman" w:hAnsi="Times New Roman"/>
                <w:sz w:val="24"/>
                <w:szCs w:val="24"/>
              </w:rPr>
              <w:t>（</w:t>
            </w:r>
            <w:r>
              <w:rPr>
                <w:rFonts w:ascii="Times New Roman" w:hAnsi="Times New Roman"/>
                <w:sz w:val="24"/>
                <w:szCs w:val="24"/>
              </w:rPr>
              <w:t>www.sse.com.cn</w:t>
            </w:r>
            <w:r>
              <w:rPr>
                <w:rFonts w:hint="eastAsia" w:ascii="Times New Roman" w:hAnsi="Times New Roman"/>
                <w:sz w:val="24"/>
                <w:szCs w:val="24"/>
              </w:rPr>
              <w:t>）</w:t>
            </w:r>
            <w:r>
              <w:rPr>
                <w:rFonts w:ascii="Times New Roman" w:hAnsi="Times New Roman"/>
                <w:sz w:val="24"/>
                <w:szCs w:val="24"/>
              </w:rPr>
              <w:t>和公司指定信息披露媒体刊登的相关公告为准。</w:t>
            </w:r>
          </w:p>
          <w:p w14:paraId="169B2E9D">
            <w:pPr>
              <w:spacing w:line="360" w:lineRule="auto"/>
              <w:ind w:firstLine="480" w:firstLineChars="200"/>
              <w:rPr>
                <w:rFonts w:ascii="Times New Roman" w:hAnsi="Times New Roman"/>
                <w:sz w:val="24"/>
                <w:szCs w:val="24"/>
              </w:rPr>
            </w:pPr>
            <w:r>
              <w:rPr>
                <w:rFonts w:ascii="Times New Roman" w:hAnsi="Times New Roman"/>
                <w:sz w:val="24"/>
                <w:szCs w:val="24"/>
              </w:rPr>
              <w:t>问题三：后续对主营业务的改善上，有哪些具体措施</w:t>
            </w:r>
          </w:p>
          <w:p w14:paraId="26E8C042">
            <w:pPr>
              <w:spacing w:line="360" w:lineRule="auto"/>
              <w:ind w:firstLine="480" w:firstLineChars="200"/>
              <w:rPr>
                <w:rFonts w:ascii="Times New Roman" w:hAnsi="Times New Roman"/>
                <w:sz w:val="24"/>
                <w:szCs w:val="24"/>
              </w:rPr>
            </w:pPr>
            <w:r>
              <w:rPr>
                <w:rFonts w:ascii="Times New Roman" w:hAnsi="Times New Roman"/>
                <w:sz w:val="24"/>
                <w:szCs w:val="24"/>
              </w:rPr>
              <w:t>答</w:t>
            </w:r>
            <w:r>
              <w:rPr>
                <w:rFonts w:hint="eastAsia" w:ascii="Times New Roman" w:hAnsi="Times New Roman"/>
                <w:sz w:val="24"/>
                <w:szCs w:val="24"/>
              </w:rPr>
              <w:t>：</w:t>
            </w:r>
            <w:r>
              <w:rPr>
                <w:rFonts w:ascii="Times New Roman" w:hAnsi="Times New Roman"/>
                <w:sz w:val="24"/>
                <w:szCs w:val="24"/>
              </w:rPr>
              <w:t>尊敬的投资者您好，2025年公司将紧紧围绕年初制定的目标，通过以下几点改善主营：1、主营业务多头并举，形成稳定的产品体系和风格符号；2、新增中档板式家具业务版块，快速拓展特殊板业务市场；3、标准化流程控成本，小单元核算激活力；4、推进数字化管理，持续降本增效。具体内容详见公司2024年年度报告</w:t>
            </w:r>
            <w:r>
              <w:rPr>
                <w:rFonts w:hint="eastAsia" w:ascii="Times New Roman" w:hAnsi="Times New Roman"/>
                <w:sz w:val="24"/>
                <w:szCs w:val="24"/>
              </w:rPr>
              <w:t>“</w:t>
            </w:r>
            <w:r>
              <w:rPr>
                <w:rFonts w:ascii="Times New Roman" w:hAnsi="Times New Roman"/>
                <w:sz w:val="24"/>
                <w:szCs w:val="24"/>
              </w:rPr>
              <w:t>经营计划</w:t>
            </w:r>
            <w:r>
              <w:rPr>
                <w:rFonts w:hint="eastAsia" w:ascii="Times New Roman" w:hAnsi="Times New Roman"/>
                <w:sz w:val="24"/>
                <w:szCs w:val="24"/>
              </w:rPr>
              <w:t>”</w:t>
            </w:r>
            <w:r>
              <w:rPr>
                <w:rFonts w:ascii="Times New Roman" w:hAnsi="Times New Roman"/>
                <w:sz w:val="24"/>
                <w:szCs w:val="24"/>
              </w:rPr>
              <w:t>。</w:t>
            </w:r>
          </w:p>
          <w:p w14:paraId="7C2BBDC0">
            <w:pPr>
              <w:spacing w:line="360" w:lineRule="auto"/>
              <w:ind w:firstLine="480" w:firstLineChars="200"/>
              <w:rPr>
                <w:rFonts w:ascii="Times New Roman" w:hAnsi="Times New Roman"/>
                <w:sz w:val="24"/>
                <w:szCs w:val="24"/>
              </w:rPr>
            </w:pPr>
            <w:r>
              <w:rPr>
                <w:rFonts w:ascii="Times New Roman" w:hAnsi="Times New Roman"/>
                <w:sz w:val="24"/>
                <w:szCs w:val="24"/>
              </w:rPr>
              <w:t>问题四：公司股票短期上涨很大，有无自查过原因</w:t>
            </w:r>
          </w:p>
          <w:p w14:paraId="31F25D8E">
            <w:pPr>
              <w:spacing w:line="360" w:lineRule="auto"/>
              <w:ind w:firstLine="480" w:firstLineChars="200"/>
              <w:rPr>
                <w:rFonts w:ascii="Times New Roman" w:hAnsi="Times New Roman"/>
                <w:sz w:val="24"/>
                <w:szCs w:val="24"/>
              </w:rPr>
            </w:pPr>
            <w:r>
              <w:rPr>
                <w:rFonts w:ascii="Times New Roman" w:hAnsi="Times New Roman"/>
                <w:sz w:val="24"/>
                <w:szCs w:val="24"/>
              </w:rPr>
              <w:t>答</w:t>
            </w:r>
            <w:r>
              <w:rPr>
                <w:rFonts w:hint="eastAsia" w:ascii="Times New Roman" w:hAnsi="Times New Roman"/>
                <w:sz w:val="24"/>
                <w:szCs w:val="24"/>
              </w:rPr>
              <w:t>：</w:t>
            </w:r>
            <w:r>
              <w:rPr>
                <w:rFonts w:ascii="Times New Roman" w:hAnsi="Times New Roman"/>
                <w:sz w:val="24"/>
                <w:szCs w:val="24"/>
              </w:rPr>
              <w:t>尊敬的投资者您好，经公司自查</w:t>
            </w:r>
            <w:r>
              <w:rPr>
                <w:rFonts w:hint="eastAsia" w:ascii="Times New Roman" w:hAnsi="Times New Roman"/>
                <w:sz w:val="24"/>
                <w:szCs w:val="24"/>
              </w:rPr>
              <w:t>，</w:t>
            </w:r>
            <w:r>
              <w:rPr>
                <w:rFonts w:ascii="Times New Roman" w:hAnsi="Times New Roman"/>
                <w:sz w:val="24"/>
                <w:szCs w:val="24"/>
              </w:rPr>
              <w:t>除前期控制权变更事项及要约收购事项外，公司未发现需要澄清或回应的媒体报道或市场传闻；公司未发现其他可能或已经对公司股价产生较大影响的重大事件；公司前期披露的信息不存在需要补充、更正之处。</w:t>
            </w:r>
          </w:p>
          <w:p w14:paraId="6D8D88D7">
            <w:pPr>
              <w:spacing w:line="360" w:lineRule="auto"/>
              <w:ind w:firstLine="480" w:firstLineChars="200"/>
              <w:rPr>
                <w:rFonts w:ascii="Times New Roman" w:hAnsi="Times New Roman"/>
                <w:sz w:val="24"/>
                <w:szCs w:val="24"/>
              </w:rPr>
            </w:pPr>
            <w:r>
              <w:rPr>
                <w:rFonts w:ascii="Times New Roman" w:hAnsi="Times New Roman"/>
                <w:sz w:val="24"/>
                <w:szCs w:val="24"/>
              </w:rPr>
              <w:t>问题五：控股权变更之后，公司的经营和主营业务范围会不会调整</w:t>
            </w:r>
          </w:p>
          <w:p w14:paraId="12C8DF4B">
            <w:pPr>
              <w:spacing w:line="360" w:lineRule="auto"/>
              <w:ind w:firstLine="480" w:firstLineChars="200"/>
              <w:rPr>
                <w:rFonts w:ascii="Times New Roman" w:hAnsi="Times New Roman"/>
                <w:sz w:val="24"/>
                <w:szCs w:val="24"/>
              </w:rPr>
            </w:pPr>
            <w:r>
              <w:rPr>
                <w:rFonts w:ascii="Times New Roman" w:hAnsi="Times New Roman"/>
                <w:sz w:val="24"/>
                <w:szCs w:val="24"/>
              </w:rPr>
              <w:t>答</w:t>
            </w:r>
            <w:r>
              <w:rPr>
                <w:rFonts w:hint="eastAsia" w:ascii="Times New Roman" w:hAnsi="Times New Roman"/>
                <w:sz w:val="24"/>
                <w:szCs w:val="24"/>
              </w:rPr>
              <w:t>：</w:t>
            </w:r>
            <w:r>
              <w:rPr>
                <w:rFonts w:ascii="Times New Roman" w:hAnsi="Times New Roman"/>
                <w:sz w:val="24"/>
                <w:szCs w:val="24"/>
              </w:rPr>
              <w:t>尊敬的投资者您好，根据公司在2025年6月6日已披露的《要约收购报告书》中</w:t>
            </w:r>
            <w:r>
              <w:rPr>
                <w:rFonts w:hint="eastAsia" w:ascii="Times New Roman" w:hAnsi="Times New Roman"/>
                <w:sz w:val="24"/>
                <w:szCs w:val="24"/>
              </w:rPr>
              <w:t>“</w:t>
            </w:r>
            <w:r>
              <w:rPr>
                <w:rFonts w:ascii="Times New Roman" w:hAnsi="Times New Roman"/>
                <w:sz w:val="24"/>
                <w:szCs w:val="24"/>
              </w:rPr>
              <w:t>第六节 后续计划</w:t>
            </w:r>
            <w:r>
              <w:rPr>
                <w:rFonts w:hint="eastAsia" w:ascii="Times New Roman" w:hAnsi="Times New Roman"/>
                <w:sz w:val="24"/>
                <w:szCs w:val="24"/>
              </w:rPr>
              <w:t>”</w:t>
            </w:r>
            <w:r>
              <w:rPr>
                <w:rFonts w:ascii="Times New Roman" w:hAnsi="Times New Roman"/>
                <w:sz w:val="24"/>
                <w:szCs w:val="24"/>
              </w:rPr>
              <w:t>所示：截至《要约收购报告书》签署日，吴涛先生及其一致行动人暂无在未来12个月内改变上市公司主营业务或者对上市公司主营业务做出重大调整的具体计划；暂无在未来12个月内对上市公司及其子公司的资产和业务进行出售、合并、与他人合资或合作的具体计划，或上市公司拟购买或置换资产的重组计划。如果根据上市公司实际情况，需要实施相关事项，收购人及其一致行动人届时将督促上市公司严格按照相关法律法规的要求，履行相应的法律程序以及信息披露义务，切实保护上市公司及中小投资者的合法利益。</w:t>
            </w:r>
          </w:p>
          <w:p w14:paraId="130598AF">
            <w:pPr>
              <w:spacing w:line="360" w:lineRule="auto"/>
              <w:ind w:firstLine="480" w:firstLineChars="200"/>
              <w:rPr>
                <w:rFonts w:ascii="Times New Roman" w:hAnsi="Times New Roman"/>
                <w:sz w:val="24"/>
                <w:szCs w:val="24"/>
              </w:rPr>
            </w:pPr>
            <w:r>
              <w:rPr>
                <w:rFonts w:ascii="Times New Roman" w:hAnsi="Times New Roman"/>
                <w:sz w:val="24"/>
                <w:szCs w:val="24"/>
              </w:rPr>
              <w:t>问题六：请问贵公司本期财务报告中，盈利表现如何？</w:t>
            </w:r>
          </w:p>
          <w:p w14:paraId="3EB9DC2F">
            <w:pPr>
              <w:spacing w:line="360" w:lineRule="auto"/>
              <w:ind w:firstLine="480" w:firstLineChars="200"/>
              <w:rPr>
                <w:rFonts w:ascii="宋体" w:hAnsi="宋体"/>
                <w:sz w:val="24"/>
                <w:szCs w:val="24"/>
              </w:rPr>
            </w:pPr>
            <w:r>
              <w:rPr>
                <w:rFonts w:ascii="Times New Roman" w:hAnsi="Times New Roman"/>
                <w:sz w:val="24"/>
                <w:szCs w:val="24"/>
              </w:rPr>
              <w:t>答</w:t>
            </w:r>
            <w:r>
              <w:rPr>
                <w:rFonts w:hint="eastAsia" w:ascii="Times New Roman" w:hAnsi="Times New Roman"/>
                <w:sz w:val="24"/>
                <w:szCs w:val="24"/>
              </w:rPr>
              <w:t>：</w:t>
            </w:r>
            <w:r>
              <w:rPr>
                <w:rFonts w:ascii="Times New Roman" w:hAnsi="Times New Roman"/>
                <w:sz w:val="24"/>
                <w:szCs w:val="24"/>
              </w:rPr>
              <w:t>尊敬的投资者您好，2025年一季度，公司实现营业收入4,067.57万元，同比增长</w:t>
            </w:r>
            <w:bookmarkStart w:id="0" w:name="_GoBack"/>
            <w:bookmarkEnd w:id="0"/>
            <w:r>
              <w:rPr>
                <w:rFonts w:ascii="Times New Roman" w:hAnsi="Times New Roman"/>
                <w:sz w:val="24"/>
                <w:szCs w:val="24"/>
              </w:rPr>
              <w:t>26.83%；归属于上市公司股东的净利润亏损2,131.38万元，同比减亏；归属于上市公司股东的扣除非经常性损益的净利润亏损2,047.67万元，同比减亏。</w:t>
            </w:r>
          </w:p>
        </w:tc>
      </w:tr>
      <w:tr w14:paraId="5C85EE19">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79296F1E">
            <w:pPr>
              <w:widowControl/>
              <w:spacing w:before="156" w:beforeLines="50" w:line="360" w:lineRule="auto"/>
              <w:jc w:val="center"/>
              <w:rPr>
                <w:rFonts w:ascii="宋体" w:cs="宋体"/>
                <w:b/>
                <w:bCs/>
                <w:kern w:val="0"/>
                <w:sz w:val="24"/>
              </w:rPr>
            </w:pPr>
            <w:r>
              <w:rPr>
                <w:rFonts w:hint="eastAsia" w:ascii="宋体" w:hAnsi="宋体" w:cs="宋体"/>
                <w:b/>
                <w:bCs/>
                <w:kern w:val="0"/>
                <w:sz w:val="24"/>
              </w:rPr>
              <w:t>附件清单    （如有）</w:t>
            </w:r>
          </w:p>
        </w:tc>
        <w:tc>
          <w:tcPr>
            <w:tcW w:w="6571" w:type="dxa"/>
            <w:gridSpan w:val="2"/>
            <w:tcBorders>
              <w:top w:val="single" w:color="000000" w:sz="4" w:space="0"/>
              <w:left w:val="nil"/>
              <w:bottom w:val="single" w:color="000000" w:sz="4" w:space="0"/>
              <w:right w:val="single" w:color="000000" w:sz="4" w:space="0"/>
            </w:tcBorders>
            <w:vAlign w:val="center"/>
          </w:tcPr>
          <w:p w14:paraId="12A00BD5">
            <w:pPr>
              <w:widowControl/>
              <w:spacing w:line="360" w:lineRule="auto"/>
              <w:rPr>
                <w:rFonts w:ascii="宋体" w:hAnsi="宋体"/>
                <w:sz w:val="24"/>
                <w:szCs w:val="24"/>
              </w:rPr>
            </w:pPr>
            <w:r>
              <w:rPr>
                <w:rFonts w:hint="eastAsia" w:ascii="宋体" w:hAnsi="宋体"/>
                <w:sz w:val="24"/>
                <w:szCs w:val="24"/>
              </w:rPr>
              <w:t>无</w:t>
            </w:r>
          </w:p>
        </w:tc>
      </w:tr>
      <w:tr w14:paraId="2F709729">
        <w:tblPrEx>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7E80BDFD">
            <w:pPr>
              <w:widowControl/>
              <w:spacing w:before="156" w:beforeLines="50" w:line="360" w:lineRule="auto"/>
              <w:jc w:val="center"/>
              <w:rPr>
                <w:rFonts w:ascii="宋体" w:cs="宋体"/>
                <w:b/>
                <w:bCs/>
                <w:kern w:val="0"/>
                <w:sz w:val="24"/>
              </w:rPr>
            </w:pPr>
            <w:r>
              <w:rPr>
                <w:rFonts w:hint="eastAsia" w:ascii="宋体" w:hAnsi="宋体" w:cs="宋体"/>
                <w:b/>
                <w:bCs/>
                <w:kern w:val="0"/>
                <w:sz w:val="24"/>
              </w:rPr>
              <w:t>日期</w:t>
            </w:r>
          </w:p>
        </w:tc>
        <w:tc>
          <w:tcPr>
            <w:tcW w:w="6571" w:type="dxa"/>
            <w:gridSpan w:val="2"/>
            <w:tcBorders>
              <w:top w:val="single" w:color="000000" w:sz="4" w:space="0"/>
              <w:left w:val="nil"/>
              <w:bottom w:val="single" w:color="000000" w:sz="4" w:space="0"/>
              <w:right w:val="single" w:color="000000" w:sz="4" w:space="0"/>
            </w:tcBorders>
            <w:vAlign w:val="center"/>
          </w:tcPr>
          <w:p w14:paraId="0613C88E">
            <w:pPr>
              <w:widowControl/>
              <w:spacing w:before="156" w:beforeLines="50" w:line="360" w:lineRule="auto"/>
              <w:rPr>
                <w:rFonts w:ascii="Times New Roman" w:hAnsi="Times New Roman"/>
                <w:sz w:val="24"/>
                <w:szCs w:val="24"/>
              </w:rPr>
            </w:pPr>
            <w:r>
              <w:rPr>
                <w:rFonts w:ascii="Times New Roman" w:hAnsi="Times New Roman"/>
                <w:sz w:val="24"/>
                <w:szCs w:val="24"/>
              </w:rPr>
              <w:t>202</w:t>
            </w:r>
            <w:r>
              <w:rPr>
                <w:rFonts w:hint="eastAsia" w:ascii="Times New Roman" w:hAnsi="Times New Roman"/>
                <w:sz w:val="24"/>
                <w:szCs w:val="24"/>
              </w:rPr>
              <w:t>5</w:t>
            </w:r>
            <w:r>
              <w:rPr>
                <w:rFonts w:ascii="Times New Roman" w:hAnsi="Times New Roman"/>
                <w:sz w:val="24"/>
                <w:szCs w:val="24"/>
              </w:rPr>
              <w:t>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rPr>
              <w:t>12</w:t>
            </w:r>
            <w:r>
              <w:rPr>
                <w:rFonts w:ascii="Times New Roman" w:hAnsi="Times New Roman"/>
                <w:sz w:val="24"/>
                <w:szCs w:val="24"/>
              </w:rPr>
              <w:t>日</w:t>
            </w:r>
          </w:p>
        </w:tc>
      </w:tr>
    </w:tbl>
    <w:p w14:paraId="2BB947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EA"/>
    <w:rsid w:val="00003868"/>
    <w:rsid w:val="000A1139"/>
    <w:rsid w:val="000A1A95"/>
    <w:rsid w:val="000D6496"/>
    <w:rsid w:val="00125E73"/>
    <w:rsid w:val="00141BF0"/>
    <w:rsid w:val="00145D23"/>
    <w:rsid w:val="001713D1"/>
    <w:rsid w:val="00190366"/>
    <w:rsid w:val="001912CA"/>
    <w:rsid w:val="001A2B28"/>
    <w:rsid w:val="001A4644"/>
    <w:rsid w:val="001C4F19"/>
    <w:rsid w:val="001C688C"/>
    <w:rsid w:val="001F28AA"/>
    <w:rsid w:val="002021E8"/>
    <w:rsid w:val="00210AD6"/>
    <w:rsid w:val="002165C6"/>
    <w:rsid w:val="00225F06"/>
    <w:rsid w:val="00244EB1"/>
    <w:rsid w:val="00257E04"/>
    <w:rsid w:val="0028676F"/>
    <w:rsid w:val="0028699C"/>
    <w:rsid w:val="00297571"/>
    <w:rsid w:val="002B1083"/>
    <w:rsid w:val="002D0D3D"/>
    <w:rsid w:val="003030C7"/>
    <w:rsid w:val="00323514"/>
    <w:rsid w:val="0032706A"/>
    <w:rsid w:val="00343C64"/>
    <w:rsid w:val="00352ECB"/>
    <w:rsid w:val="0037047D"/>
    <w:rsid w:val="003A5A2C"/>
    <w:rsid w:val="003A7586"/>
    <w:rsid w:val="003B0FA9"/>
    <w:rsid w:val="003B35CE"/>
    <w:rsid w:val="003D3414"/>
    <w:rsid w:val="003F227F"/>
    <w:rsid w:val="003F6B45"/>
    <w:rsid w:val="004010EC"/>
    <w:rsid w:val="00403FC5"/>
    <w:rsid w:val="00414936"/>
    <w:rsid w:val="0043033B"/>
    <w:rsid w:val="004314CE"/>
    <w:rsid w:val="004C0FFE"/>
    <w:rsid w:val="0051039C"/>
    <w:rsid w:val="00515230"/>
    <w:rsid w:val="005516A7"/>
    <w:rsid w:val="00575342"/>
    <w:rsid w:val="0059501E"/>
    <w:rsid w:val="005B7126"/>
    <w:rsid w:val="005C057E"/>
    <w:rsid w:val="00635664"/>
    <w:rsid w:val="006548F7"/>
    <w:rsid w:val="006742FE"/>
    <w:rsid w:val="006866D4"/>
    <w:rsid w:val="00694B76"/>
    <w:rsid w:val="006A76CC"/>
    <w:rsid w:val="006B50C1"/>
    <w:rsid w:val="00717FBA"/>
    <w:rsid w:val="007538ED"/>
    <w:rsid w:val="0075402D"/>
    <w:rsid w:val="007803A7"/>
    <w:rsid w:val="007808EA"/>
    <w:rsid w:val="00790828"/>
    <w:rsid w:val="007B0EDA"/>
    <w:rsid w:val="007B42DB"/>
    <w:rsid w:val="007D5DFB"/>
    <w:rsid w:val="007F7BD7"/>
    <w:rsid w:val="00801CA8"/>
    <w:rsid w:val="008053ED"/>
    <w:rsid w:val="0081376A"/>
    <w:rsid w:val="00815735"/>
    <w:rsid w:val="00825FB8"/>
    <w:rsid w:val="00856C21"/>
    <w:rsid w:val="0086010B"/>
    <w:rsid w:val="008717A4"/>
    <w:rsid w:val="00874994"/>
    <w:rsid w:val="0088752E"/>
    <w:rsid w:val="00890045"/>
    <w:rsid w:val="008C35F2"/>
    <w:rsid w:val="008F71C4"/>
    <w:rsid w:val="009053EF"/>
    <w:rsid w:val="00911734"/>
    <w:rsid w:val="00923998"/>
    <w:rsid w:val="00930409"/>
    <w:rsid w:val="00947279"/>
    <w:rsid w:val="00950B53"/>
    <w:rsid w:val="009724A7"/>
    <w:rsid w:val="009726F8"/>
    <w:rsid w:val="00994DB2"/>
    <w:rsid w:val="009D48E3"/>
    <w:rsid w:val="00A05526"/>
    <w:rsid w:val="00A10754"/>
    <w:rsid w:val="00A10BA8"/>
    <w:rsid w:val="00A229D7"/>
    <w:rsid w:val="00A24E9C"/>
    <w:rsid w:val="00A62915"/>
    <w:rsid w:val="00A6665F"/>
    <w:rsid w:val="00A76084"/>
    <w:rsid w:val="00A84C52"/>
    <w:rsid w:val="00A85B39"/>
    <w:rsid w:val="00A9124F"/>
    <w:rsid w:val="00AB0C67"/>
    <w:rsid w:val="00AB5BE0"/>
    <w:rsid w:val="00AC7615"/>
    <w:rsid w:val="00AD6295"/>
    <w:rsid w:val="00AE57CD"/>
    <w:rsid w:val="00B372AB"/>
    <w:rsid w:val="00B401D3"/>
    <w:rsid w:val="00B4594C"/>
    <w:rsid w:val="00B51EA6"/>
    <w:rsid w:val="00B6360B"/>
    <w:rsid w:val="00B90617"/>
    <w:rsid w:val="00BA3FA1"/>
    <w:rsid w:val="00BD1687"/>
    <w:rsid w:val="00BF6002"/>
    <w:rsid w:val="00C5490A"/>
    <w:rsid w:val="00C8142A"/>
    <w:rsid w:val="00C971C4"/>
    <w:rsid w:val="00CA1577"/>
    <w:rsid w:val="00CB7BEB"/>
    <w:rsid w:val="00CC2519"/>
    <w:rsid w:val="00CC7D2F"/>
    <w:rsid w:val="00CD6CCD"/>
    <w:rsid w:val="00D0015B"/>
    <w:rsid w:val="00D03270"/>
    <w:rsid w:val="00D12B2C"/>
    <w:rsid w:val="00D31A83"/>
    <w:rsid w:val="00D50347"/>
    <w:rsid w:val="00DD3B0E"/>
    <w:rsid w:val="00DE10F6"/>
    <w:rsid w:val="00E139B4"/>
    <w:rsid w:val="00E32D9B"/>
    <w:rsid w:val="00E51227"/>
    <w:rsid w:val="00E72EBC"/>
    <w:rsid w:val="00EE670B"/>
    <w:rsid w:val="00F12784"/>
    <w:rsid w:val="00F6510F"/>
    <w:rsid w:val="00FA4063"/>
    <w:rsid w:val="00FB052B"/>
    <w:rsid w:val="00FB51F4"/>
    <w:rsid w:val="00FD024F"/>
    <w:rsid w:val="00FE695A"/>
    <w:rsid w:val="1D0A376C"/>
    <w:rsid w:val="3EC9405B"/>
    <w:rsid w:val="4CDB5302"/>
    <w:rsid w:val="638135AD"/>
    <w:rsid w:val="68372214"/>
    <w:rsid w:val="6A17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rFonts w:ascii="Calibri" w:hAnsi="Calibri" w:eastAsia="宋体" w:cs="Times New Roman"/>
      <w:sz w:val="18"/>
      <w:szCs w:val="18"/>
      <w14:ligatures w14:val="none"/>
    </w:rPr>
  </w:style>
  <w:style w:type="character" w:customStyle="1" w:styleId="14">
    <w:name w:val="页脚 字符"/>
    <w:basedOn w:val="10"/>
    <w:link w:val="4"/>
    <w:qFormat/>
    <w:uiPriority w:val="99"/>
    <w:rPr>
      <w:rFonts w:ascii="Calibri" w:hAnsi="Calibri" w:eastAsia="宋体" w:cs="Times New Roman"/>
      <w:sz w:val="18"/>
      <w:szCs w:val="18"/>
      <w14:ligatures w14:val="none"/>
    </w:rPr>
  </w:style>
  <w:style w:type="character" w:customStyle="1" w:styleId="15">
    <w:name w:val="HTML 预设格式 字符"/>
    <w:basedOn w:val="10"/>
    <w:link w:val="6"/>
    <w:semiHidden/>
    <w:qFormat/>
    <w:uiPriority w:val="99"/>
    <w:rPr>
      <w:rFonts w:ascii="宋体" w:hAnsi="宋体" w:eastAsia="宋体" w:cs="宋体"/>
      <w:kern w:val="0"/>
      <w:sz w:val="24"/>
      <w:szCs w:val="24"/>
      <w14:ligatures w14:val="none"/>
    </w:rPr>
  </w:style>
  <w:style w:type="character" w:customStyle="1" w:styleId="16">
    <w:name w:val="批注文字 字符"/>
    <w:basedOn w:val="10"/>
    <w:link w:val="2"/>
    <w:semiHidden/>
    <w:qFormat/>
    <w:uiPriority w:val="99"/>
    <w:rPr>
      <w:rFonts w:ascii="Calibri" w:hAnsi="Calibri" w:eastAsia="宋体" w:cs="Times New Roman"/>
      <w:kern w:val="2"/>
      <w:sz w:val="21"/>
      <w:szCs w:val="22"/>
    </w:rPr>
  </w:style>
  <w:style w:type="character" w:customStyle="1" w:styleId="17">
    <w:name w:val="批注主题 字符"/>
    <w:basedOn w:val="16"/>
    <w:link w:val="7"/>
    <w:semiHidden/>
    <w:qFormat/>
    <w:uiPriority w:val="99"/>
    <w:rPr>
      <w:rFonts w:ascii="Calibri" w:hAnsi="Calibri" w:eastAsia="宋体" w:cs="Times New Roman"/>
      <w:b/>
      <w:bCs/>
      <w:kern w:val="2"/>
      <w:sz w:val="21"/>
      <w:szCs w:val="22"/>
    </w:rPr>
  </w:style>
  <w:style w:type="character" w:customStyle="1" w:styleId="18">
    <w:name w:val="批注框文本 字符"/>
    <w:basedOn w:val="10"/>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1144</Words>
  <Characters>1271</Characters>
  <Lines>9</Lines>
  <Paragraphs>2</Paragraphs>
  <TotalTime>0</TotalTime>
  <ScaleCrop>false</ScaleCrop>
  <LinksUpToDate>false</LinksUpToDate>
  <CharactersWithSpaces>1316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2025-06-12T06:37:00Z</dcterms:created>
  <dc:creator>Administrator</dc:creator>
  <cp:lastModifiedBy>Komorebi</cp:lastModifiedBy>
  <dcterms:modified xsi:type="dcterms:W3CDTF">2025-06-12T07:57:39Z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eyJoZGlkIjoiNzVjMzU3YjRkODZlMDQ4YTNhYmI5ODU3ZjU3NmIwMmQiLCJ1c2VySWQiOiI2NTI2Mjk0NDQifQ==</vt:lpwstr>
  </property>
  <property fmtid="{D5CDD505-2E9C-101B-9397-08002B2CF9AE}" pid="3" name="KSOProductBuildVer">
    <vt:lpwstr>2052-12.1.0.21171</vt:lpwstr>
  </property>
  <property fmtid="{D5CDD505-2E9C-101B-9397-08002B2CF9AE}" pid="4" name="ICV">
    <vt:lpwstr>2E237DE85F39444D9248BF025C1D7EE0_12</vt:lpwstr>
  </property>
</Properties>
</file>