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360" w:lineRule="auto"/>
        <w:jc w:val="center"/>
        <w:outlineLvl w:val="1"/>
        <w:rPr>
          <w:rFonts w:ascii="宋体" w:hAnsi="宋体" w:eastAsia="宋体" w:cs="Times New Roman"/>
          <w:b/>
          <w:bCs/>
          <w:iCs/>
          <w:sz w:val="24"/>
          <w:szCs w:val="24"/>
        </w:rPr>
      </w:pPr>
      <w:r>
        <w:rPr>
          <w:rFonts w:hint="eastAsia" w:ascii="宋体" w:hAnsi="宋体" w:eastAsia="宋体" w:cs="Times New Roman"/>
          <w:b/>
          <w:bCs/>
          <w:iCs/>
          <w:sz w:val="24"/>
          <w:szCs w:val="24"/>
        </w:rPr>
        <w:t>证券代码：688573                        证券简称：信宇人</w:t>
      </w:r>
      <w:r>
        <w:rPr>
          <w:rFonts w:ascii="宋体" w:hAnsi="宋体" w:eastAsia="宋体" w:cs="Times New Roman"/>
          <w:b/>
          <w:bCs/>
          <w:iCs/>
          <w:sz w:val="24"/>
          <w:szCs w:val="24"/>
        </w:rPr>
        <w:t xml:space="preserve"> </w:t>
      </w:r>
    </w:p>
    <w:p>
      <w:pPr>
        <w:keepNext/>
        <w:keepLines/>
        <w:spacing w:before="156" w:before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深圳市信宇人科技股份有限公司</w:t>
      </w:r>
    </w:p>
    <w:p>
      <w:pPr>
        <w:keepNext/>
        <w:keepLines/>
        <w:spacing w:before="156" w:beforeLines="50" w:line="360" w:lineRule="auto"/>
        <w:jc w:val="center"/>
        <w:outlineLvl w:val="1"/>
        <w:rPr>
          <w:rFonts w:ascii="宋体" w:hAnsi="宋体" w:eastAsia="宋体" w:cs="Times New Roman"/>
          <w:b/>
          <w:bCs/>
          <w:sz w:val="32"/>
          <w:szCs w:val="32"/>
        </w:rPr>
      </w:pPr>
      <w:r>
        <w:rPr>
          <w:rFonts w:hint="eastAsia" w:ascii="宋体" w:hAnsi="宋体" w:eastAsia="宋体" w:cs="Times New Roman"/>
          <w:b/>
          <w:bCs/>
          <w:sz w:val="32"/>
          <w:szCs w:val="32"/>
        </w:rPr>
        <w:t>投资者关系活动记录表</w:t>
      </w:r>
    </w:p>
    <w:p>
      <w:pPr>
        <w:keepNext/>
        <w:keepLines/>
        <w:spacing w:before="260" w:after="260" w:line="360" w:lineRule="auto"/>
        <w:jc w:val="left"/>
        <w:outlineLvl w:val="1"/>
        <w:rPr>
          <w:rFonts w:hint="eastAsia" w:ascii="宋体" w:hAnsi="宋体" w:eastAsia="宋体" w:cs="Times New Roman"/>
          <w:b/>
          <w:bCs/>
          <w:sz w:val="24"/>
          <w:szCs w:val="24"/>
          <w:lang w:eastAsia="zh-CN"/>
        </w:rPr>
      </w:pPr>
      <w:r>
        <w:rPr>
          <w:rFonts w:hint="eastAsia" w:ascii="宋体" w:hAnsi="宋体" w:eastAsia="宋体" w:cs="Times New Roman"/>
          <w:b/>
          <w:bCs/>
          <w:sz w:val="24"/>
          <w:szCs w:val="24"/>
        </w:rPr>
        <w:t>编号：2025-00</w:t>
      </w:r>
      <w:r>
        <w:rPr>
          <w:rFonts w:hint="eastAsia" w:ascii="宋体" w:hAnsi="宋体" w:eastAsia="宋体" w:cs="Times New Roman"/>
          <w:b/>
          <w:bCs/>
          <w:sz w:val="24"/>
          <w:szCs w:val="24"/>
          <w:lang w:val="en-US" w:eastAsia="zh-CN"/>
        </w:rPr>
        <w:t>6</w:t>
      </w:r>
    </w:p>
    <w:tbl>
      <w:tblPr>
        <w:tblStyle w:val="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投资者关系活动类别</w:t>
            </w:r>
          </w:p>
          <w:p>
            <w:pPr>
              <w:spacing w:line="360" w:lineRule="auto"/>
              <w:rPr>
                <w:rFonts w:ascii="宋体" w:hAnsi="宋体" w:eastAsia="宋体" w:cs="Times New Roman"/>
                <w:b/>
                <w:bCs/>
                <w:iCs/>
                <w:sz w:val="24"/>
                <w:szCs w:val="24"/>
              </w:rPr>
            </w:pPr>
          </w:p>
        </w:tc>
        <w:tc>
          <w:tcPr>
            <w:tcW w:w="6025"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特定对象调研        </w:t>
            </w:r>
            <w:r>
              <w:rPr>
                <w:rFonts w:hint="eastAsia" w:ascii="宋体" w:hAnsi="宋体" w:eastAsia="宋体" w:cs="Times New Roman"/>
                <w:bCs/>
                <w:iCs/>
                <w:sz w:val="24"/>
                <w:szCs w:val="24"/>
              </w:rPr>
              <w:t>□</w:t>
            </w:r>
            <w:r>
              <w:rPr>
                <w:rFonts w:hint="eastAsia" w:ascii="宋体" w:hAnsi="宋体" w:eastAsia="宋体" w:cs="Times New Roman"/>
                <w:sz w:val="24"/>
                <w:szCs w:val="24"/>
              </w:rPr>
              <w:t>分析师会议</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媒体采访            </w:t>
            </w:r>
            <w:r>
              <w:rPr>
                <w:rFonts w:hint="eastAsia" w:ascii="宋体" w:hAnsi="宋体" w:eastAsia="宋体" w:cs="Times New Roman"/>
                <w:bCs/>
                <w:iCs/>
                <w:sz w:val="24"/>
                <w:szCs w:val="24"/>
              </w:rPr>
              <w:t>□</w:t>
            </w:r>
            <w:r>
              <w:rPr>
                <w:rFonts w:hint="eastAsia" w:ascii="宋体" w:hAnsi="宋体" w:eastAsia="宋体" w:cs="Times New Roman"/>
                <w:sz w:val="24"/>
                <w:szCs w:val="24"/>
              </w:rPr>
              <w:t>业绩说明会</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 xml:space="preserve">新闻发布会          </w:t>
            </w:r>
            <w:r>
              <w:rPr>
                <w:rFonts w:hint="eastAsia" w:ascii="宋体" w:hAnsi="宋体" w:eastAsia="宋体" w:cs="Times New Roman"/>
                <w:bCs/>
                <w:iCs/>
                <w:sz w:val="24"/>
                <w:szCs w:val="24"/>
              </w:rPr>
              <w:t>□</w:t>
            </w:r>
            <w:r>
              <w:rPr>
                <w:rFonts w:hint="eastAsia" w:ascii="宋体" w:hAnsi="宋体" w:eastAsia="宋体" w:cs="Times New Roman"/>
                <w:sz w:val="24"/>
                <w:szCs w:val="24"/>
              </w:rPr>
              <w:t>路演活动</w:t>
            </w:r>
          </w:p>
          <w:p>
            <w:pPr>
              <w:tabs>
                <w:tab w:val="left" w:pos="2690"/>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现场参观            ☑电话会议</w:t>
            </w:r>
          </w:p>
          <w:p>
            <w:pPr>
              <w:tabs>
                <w:tab w:val="center" w:pos="3199"/>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w:t>
            </w:r>
            <w:r>
              <w:rPr>
                <w:rFonts w:hint="eastAsia" w:ascii="宋体" w:hAnsi="宋体" w:eastAsia="宋体" w:cs="Times New Roman"/>
                <w:sz w:val="24"/>
                <w:szCs w:val="24"/>
              </w:rPr>
              <w:t>其他 （</w:t>
            </w:r>
            <w:r>
              <w:rPr>
                <w:rFonts w:hint="eastAsia" w:ascii="宋体" w:hAnsi="宋体" w:eastAsia="宋体" w:cs="Times New Roman"/>
                <w:sz w:val="24"/>
                <w:szCs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参与单位名称</w:t>
            </w:r>
          </w:p>
        </w:tc>
        <w:tc>
          <w:tcPr>
            <w:tcW w:w="6025" w:type="dxa"/>
            <w:shd w:val="clear" w:color="auto" w:fill="auto"/>
          </w:tcPr>
          <w:p>
            <w:pPr>
              <w:tabs>
                <w:tab w:val="center" w:pos="2798"/>
              </w:tabs>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华夏基金、睿远基金、招商基金、平安基金、红土创新基金、奇盛基金、前海开源基金、德邦基金、中金资管、华安基金、正圆投资、合远基金、金信基金、国源信达资本、香元基金、红骅投资、紫薇基金、广发证券、长江证券、华创证券、中泰证券、兴业证券、国信证券、财通证券、甬兴证券、江海证券</w:t>
            </w:r>
            <w:r>
              <w:rPr>
                <w:rFonts w:hint="eastAsia" w:ascii="宋体" w:hAnsi="宋体" w:eastAsia="宋体" w:cs="Times New Roman"/>
                <w:bCs/>
                <w:iCs/>
                <w:sz w:val="24"/>
                <w:szCs w:val="24"/>
                <w:lang w:eastAsia="zh-CN"/>
              </w:rPr>
              <w:t>、</w:t>
            </w:r>
            <w:r>
              <w:rPr>
                <w:rFonts w:hint="eastAsia" w:ascii="宋体" w:hAnsi="宋体" w:eastAsia="宋体" w:cs="Times New Roman"/>
                <w:bCs/>
                <w:iCs/>
                <w:sz w:val="24"/>
                <w:szCs w:val="24"/>
                <w:lang w:val="en-US" w:eastAsia="zh-CN"/>
              </w:rPr>
              <w:t>西部证券</w:t>
            </w:r>
            <w:r>
              <w:rPr>
                <w:rFonts w:hint="eastAsia" w:ascii="宋体" w:hAnsi="宋体" w:eastAsia="宋体" w:cs="Times New Roman"/>
                <w:bCs/>
                <w:iCs/>
                <w:sz w:val="24"/>
                <w:szCs w:val="24"/>
              </w:rPr>
              <w:t>（前述排名不分先后）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会议时间</w:t>
            </w:r>
          </w:p>
        </w:tc>
        <w:tc>
          <w:tcPr>
            <w:tcW w:w="6025"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2025年</w:t>
            </w:r>
            <w:r>
              <w:rPr>
                <w:rFonts w:ascii="宋体" w:hAnsi="宋体" w:eastAsia="宋体" w:cs="Times New Roman"/>
                <w:bCs/>
                <w:iCs/>
                <w:sz w:val="24"/>
                <w:szCs w:val="24"/>
              </w:rPr>
              <w:t>6</w:t>
            </w:r>
            <w:r>
              <w:rPr>
                <w:rFonts w:hint="eastAsia" w:ascii="宋体" w:hAnsi="宋体" w:eastAsia="宋体" w:cs="Times New Roman"/>
                <w:bCs/>
                <w:iCs/>
                <w:sz w:val="24"/>
                <w:szCs w:val="24"/>
              </w:rPr>
              <w:t>月1</w:t>
            </w:r>
            <w:r>
              <w:rPr>
                <w:rFonts w:ascii="宋体" w:hAnsi="宋体" w:eastAsia="宋体" w:cs="Times New Roman"/>
                <w:bCs/>
                <w:iCs/>
                <w:sz w:val="24"/>
                <w:szCs w:val="24"/>
              </w:rPr>
              <w:t>1</w:t>
            </w:r>
            <w:r>
              <w:rPr>
                <w:rFonts w:hint="eastAsia" w:ascii="宋体" w:hAnsi="宋体" w:eastAsia="宋体" w:cs="Times New Roman"/>
                <w:bCs/>
                <w:iCs/>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会议地点</w:t>
            </w:r>
          </w:p>
        </w:tc>
        <w:tc>
          <w:tcPr>
            <w:tcW w:w="6025"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线上会议+公司会议室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上市公司接待人员姓名</w:t>
            </w:r>
          </w:p>
        </w:tc>
        <w:tc>
          <w:tcPr>
            <w:tcW w:w="6025"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董事、董事会秘书：余德山</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公司控股子公司深圳市亚微新材料有限公司总经理、核心技术人员：黄斌卿</w:t>
            </w:r>
          </w:p>
          <w:p>
            <w:pPr>
              <w:spacing w:line="360" w:lineRule="auto"/>
              <w:rPr>
                <w:rFonts w:ascii="宋体" w:hAnsi="宋体" w:eastAsia="宋体" w:cs="Times New Roman"/>
                <w:bCs/>
                <w:iCs/>
                <w:sz w:val="24"/>
                <w:szCs w:val="24"/>
              </w:rPr>
            </w:pPr>
            <w:r>
              <w:rPr>
                <w:rFonts w:ascii="宋体" w:hAnsi="宋体" w:eastAsia="宋体" w:cs="Times New Roman"/>
                <w:bCs/>
                <w:iCs/>
                <w:sz w:val="24"/>
                <w:szCs w:val="24"/>
              </w:rPr>
              <w:t>首席科学家：郑为工</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证券事务代表：谢怡凡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96"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投资者关系活动主要内容介绍</w:t>
            </w:r>
          </w:p>
        </w:tc>
        <w:tc>
          <w:tcPr>
            <w:tcW w:w="6025" w:type="dxa"/>
            <w:shd w:val="clear" w:color="auto" w:fill="auto"/>
          </w:tcPr>
          <w:p>
            <w:pPr>
              <w:spacing w:line="360" w:lineRule="auto"/>
              <w:rPr>
                <w:rFonts w:ascii="宋体" w:hAnsi="宋体" w:eastAsia="宋体" w:cs="Times New Roman"/>
                <w:b/>
                <w:iCs/>
                <w:sz w:val="24"/>
                <w:szCs w:val="24"/>
              </w:rPr>
            </w:pPr>
            <w:r>
              <w:rPr>
                <w:rFonts w:hint="eastAsia" w:ascii="宋体" w:hAnsi="宋体" w:eastAsia="宋体" w:cs="Times New Roman"/>
                <w:b/>
                <w:iCs/>
                <w:sz w:val="24"/>
                <w:szCs w:val="24"/>
              </w:rPr>
              <w:t>一、公司干法电极设备的进展？与同行同类设备的差异是什么？</w:t>
            </w:r>
          </w:p>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公司干法电极设备样机已成功试制，目前正处于参数调试和技术验证阶段，已与国内头部客户进行了初步技术交流。该设备由搅拌设备和干法涂布设备组成，其中搅拌设备可在无溶剂条件下完成干粉搅拌和颗粒分散，实现活性物质与添加剂的均匀分布；干法涂布设备则通过特制模头将搅拌后的混合物均匀撒在预涂导电胶水的集流体上，经加热辊热复合制成正负极极片。与特斯拉为代表的干法电极技术区别在以下几方面。1、制备工艺不同，传统是“制膜+热复合”两步工序，公司采用“干粉直涂热复合技术”，省略纤维化制膜工序，一步成型。2、粘结剂含量更少，无需依赖活性物质间的高粘接强度，可保持其原有孔隙率，有助于提升电池的倍率放电性能和高容量设计。3、适用于厚电极制备，经测试，极片活性物质厚度是湿法工艺的2</w:t>
            </w:r>
            <w:r>
              <w:rPr>
                <w:rFonts w:ascii="宋体" w:hAnsi="宋体" w:eastAsia="宋体" w:cs="Times New Roman"/>
                <w:bCs/>
                <w:iCs/>
                <w:sz w:val="24"/>
                <w:szCs w:val="24"/>
              </w:rPr>
              <w:t>-3倍。</w:t>
            </w:r>
            <w:r>
              <w:rPr>
                <w:rFonts w:hint="eastAsia" w:ascii="宋体" w:hAnsi="宋体" w:eastAsia="宋体" w:cs="Times New Roman"/>
                <w:bCs/>
                <w:iCs/>
                <w:sz w:val="24"/>
                <w:szCs w:val="24"/>
              </w:rPr>
              <w:t>4</w:t>
            </w:r>
            <w:r>
              <w:rPr>
                <w:rFonts w:ascii="宋体" w:hAnsi="宋体" w:eastAsia="宋体" w:cs="Times New Roman"/>
                <w:bCs/>
                <w:iCs/>
                <w:sz w:val="24"/>
                <w:szCs w:val="24"/>
              </w:rPr>
              <w:t>、无需高压辊压，</w:t>
            </w:r>
            <w:r>
              <w:rPr>
                <w:rFonts w:hint="eastAsia" w:ascii="宋体" w:hAnsi="宋体" w:eastAsia="宋体" w:cs="Times New Roman"/>
                <w:bCs/>
                <w:iCs/>
                <w:sz w:val="24"/>
                <w:szCs w:val="24"/>
              </w:rPr>
              <w:t>可同时制备正负极极片。目前，公司的干法电极设备已取得</w:t>
            </w:r>
            <w:r>
              <w:rPr>
                <w:rFonts w:hint="eastAsia" w:ascii="宋体" w:hAnsi="宋体" w:eastAsia="宋体" w:cs="Times New Roman"/>
                <w:bCs/>
                <w:iCs/>
                <w:sz w:val="24"/>
                <w:szCs w:val="24"/>
                <w:lang w:val="en-US" w:eastAsia="zh-CN"/>
              </w:rPr>
              <w:t>6</w:t>
            </w:r>
            <w:r>
              <w:rPr>
                <w:rFonts w:hint="eastAsia" w:ascii="宋体" w:hAnsi="宋体" w:eastAsia="宋体" w:cs="Times New Roman"/>
                <w:bCs/>
                <w:iCs/>
                <w:sz w:val="24"/>
                <w:szCs w:val="24"/>
              </w:rPr>
              <w:t>项专利，其中已授权发明专利</w:t>
            </w:r>
            <w:r>
              <w:rPr>
                <w:rFonts w:hint="eastAsia" w:ascii="宋体" w:hAnsi="宋体" w:eastAsia="宋体" w:cs="Times New Roman"/>
                <w:bCs/>
                <w:iCs/>
                <w:sz w:val="24"/>
                <w:szCs w:val="24"/>
                <w:lang w:val="en-US" w:eastAsia="zh-CN"/>
              </w:rPr>
              <w:t>3</w:t>
            </w:r>
            <w:r>
              <w:rPr>
                <w:rFonts w:hint="eastAsia" w:ascii="宋体" w:hAnsi="宋体" w:eastAsia="宋体" w:cs="Times New Roman"/>
                <w:bCs/>
                <w:iCs/>
                <w:sz w:val="24"/>
                <w:szCs w:val="24"/>
              </w:rPr>
              <w:t>项，实用新型专利3 项。</w:t>
            </w:r>
          </w:p>
          <w:p>
            <w:pPr>
              <w:spacing w:line="360" w:lineRule="auto"/>
              <w:rPr>
                <w:rFonts w:ascii="宋体" w:hAnsi="宋体" w:eastAsia="宋体" w:cs="Times New Roman"/>
                <w:bCs/>
                <w:iCs/>
                <w:sz w:val="24"/>
                <w:szCs w:val="24"/>
              </w:rPr>
            </w:pPr>
          </w:p>
          <w:p>
            <w:pPr>
              <w:pStyle w:val="17"/>
              <w:numPr>
                <w:ilvl w:val="0"/>
                <w:numId w:val="1"/>
              </w:numPr>
              <w:spacing w:line="360" w:lineRule="auto"/>
              <w:ind w:firstLineChars="0"/>
              <w:rPr>
                <w:rFonts w:ascii="宋体" w:hAnsi="宋体" w:eastAsia="宋体" w:cs="Times New Roman"/>
                <w:b/>
                <w:iCs/>
                <w:sz w:val="24"/>
                <w:szCs w:val="24"/>
              </w:rPr>
            </w:pPr>
            <w:bookmarkStart w:id="0" w:name="OLE_LINK2"/>
            <w:bookmarkStart w:id="1" w:name="OLE_LINK3"/>
            <w:r>
              <w:rPr>
                <w:rFonts w:hint="eastAsia" w:ascii="宋体" w:hAnsi="宋体" w:eastAsia="宋体" w:cs="Times New Roman"/>
                <w:b/>
                <w:iCs/>
                <w:sz w:val="24"/>
                <w:szCs w:val="24"/>
              </w:rPr>
              <w:t>公司固态电解质进展如何？</w:t>
            </w:r>
          </w:p>
          <w:p>
            <w:pPr>
              <w:spacing w:line="360" w:lineRule="auto"/>
              <w:rPr>
                <w:rFonts w:hint="eastAsia" w:ascii="宋体" w:hAnsi="宋体" w:eastAsia="宋体" w:cs="Times New Roman"/>
                <w:bCs/>
                <w:iCs/>
                <w:sz w:val="24"/>
                <w:szCs w:val="24"/>
              </w:rPr>
            </w:pPr>
            <w:r>
              <w:rPr>
                <w:rFonts w:hint="eastAsia" w:ascii="宋体" w:hAnsi="宋体" w:eastAsia="宋体" w:cs="Times New Roman"/>
                <w:bCs/>
                <w:iCs/>
                <w:sz w:val="24"/>
                <w:szCs w:val="24"/>
              </w:rPr>
              <w:t>按照之前的规划，公司计划今年年底研制出卤化物固态电解质样品，明年年底研制出复合电解质电芯样品。但目前进度超预期，卤化物固态电解质样品已试制完成，并完成了初步的电化学测试，离子电导率略高于十的负三次方，展现了良好的电导率性能。卤化物电解质相比硫化物，电化学窗口更宽，可以适应4.3伏以上的高电压平台，对于提升正极的能量密度有好处。其次，稳定性更好，制备工艺没有硫化物复杂，最后，成本也更低。目前，我们正在做更全面的卤化物电解质结构及表征的性能测试，暂未向客户送样。下半年，公司将按照规划，积极推进卤化物固态电解质的性能改进及客户验证工作。</w:t>
            </w:r>
            <w:bookmarkEnd w:id="0"/>
            <w:bookmarkEnd w:id="1"/>
          </w:p>
          <w:p>
            <w:pPr>
              <w:spacing w:line="360" w:lineRule="auto"/>
              <w:rPr>
                <w:rFonts w:hint="eastAsia" w:ascii="宋体" w:hAnsi="宋体" w:eastAsia="宋体" w:cs="Times New Roman"/>
                <w:bCs/>
                <w:iCs/>
                <w:sz w:val="24"/>
                <w:szCs w:val="24"/>
              </w:rPr>
            </w:pPr>
          </w:p>
          <w:p>
            <w:pPr>
              <w:pStyle w:val="17"/>
              <w:numPr>
                <w:ilvl w:val="0"/>
                <w:numId w:val="1"/>
              </w:numPr>
              <w:spacing w:line="360" w:lineRule="auto"/>
              <w:ind w:firstLineChars="0"/>
              <w:rPr>
                <w:rFonts w:ascii="宋体" w:hAnsi="宋体" w:eastAsia="宋体" w:cs="Times New Roman"/>
                <w:b/>
                <w:iCs/>
                <w:sz w:val="24"/>
                <w:szCs w:val="24"/>
              </w:rPr>
            </w:pPr>
            <w:bookmarkStart w:id="2" w:name="OLE_LINK1"/>
            <w:r>
              <w:rPr>
                <w:rFonts w:hint="eastAsia" w:ascii="宋体" w:hAnsi="宋体" w:eastAsia="宋体" w:cs="Times New Roman"/>
                <w:b/>
                <w:iCs/>
                <w:sz w:val="24"/>
                <w:szCs w:val="24"/>
              </w:rPr>
              <w:t>亚微新材各项材料的研发及商业化进展如何？</w:t>
            </w:r>
          </w:p>
          <w:p>
            <w:pPr>
              <w:pStyle w:val="17"/>
              <w:numPr>
                <w:ilvl w:val="0"/>
                <w:numId w:val="2"/>
              </w:numPr>
              <w:spacing w:line="360" w:lineRule="auto"/>
              <w:ind w:left="0" w:leftChars="0" w:firstLine="0" w:firstLineChars="0"/>
              <w:rPr>
                <w:rFonts w:ascii="宋体" w:hAnsi="宋体" w:eastAsia="宋体" w:cs="Times New Roman"/>
                <w:bCs/>
                <w:iCs/>
                <w:sz w:val="24"/>
                <w:szCs w:val="24"/>
              </w:rPr>
            </w:pPr>
            <w:r>
              <w:rPr>
                <w:rFonts w:hint="eastAsia" w:ascii="宋体" w:hAnsi="宋体" w:eastAsia="宋体" w:cs="Times New Roman"/>
                <w:bCs/>
                <w:iCs/>
                <w:sz w:val="24"/>
                <w:szCs w:val="24"/>
              </w:rPr>
              <w:t>O</w:t>
            </w:r>
            <w:r>
              <w:rPr>
                <w:rFonts w:ascii="宋体" w:hAnsi="宋体" w:eastAsia="宋体" w:cs="Times New Roman"/>
                <w:bCs/>
                <w:iCs/>
                <w:sz w:val="24"/>
                <w:szCs w:val="24"/>
              </w:rPr>
              <w:t>CA光学胶水和胶带。保持与头部</w:t>
            </w:r>
            <w:r>
              <w:rPr>
                <w:rFonts w:hint="eastAsia" w:ascii="宋体" w:hAnsi="宋体" w:eastAsia="宋体" w:cs="Times New Roman"/>
                <w:bCs/>
                <w:iCs/>
                <w:sz w:val="24"/>
                <w:szCs w:val="24"/>
              </w:rPr>
              <w:t>3</w:t>
            </w:r>
            <w:r>
              <w:rPr>
                <w:rFonts w:ascii="宋体" w:hAnsi="宋体" w:eastAsia="宋体" w:cs="Times New Roman"/>
                <w:bCs/>
                <w:iCs/>
                <w:sz w:val="24"/>
                <w:szCs w:val="24"/>
              </w:rPr>
              <w:t>C客户较为稳定的合作，</w:t>
            </w:r>
            <w:r>
              <w:rPr>
                <w:rFonts w:hint="eastAsia" w:ascii="宋体" w:hAnsi="宋体" w:eastAsia="宋体" w:cs="Times New Roman"/>
                <w:bCs/>
                <w:iCs/>
                <w:sz w:val="24"/>
                <w:szCs w:val="24"/>
              </w:rPr>
              <w:t>出货量按照计划有序进行</w:t>
            </w:r>
            <w:r>
              <w:rPr>
                <w:rFonts w:ascii="宋体" w:hAnsi="宋体" w:eastAsia="宋体" w:cs="Times New Roman"/>
                <w:bCs/>
                <w:iCs/>
                <w:sz w:val="24"/>
                <w:szCs w:val="24"/>
              </w:rPr>
              <w:t>。</w:t>
            </w:r>
          </w:p>
          <w:p>
            <w:pPr>
              <w:pStyle w:val="17"/>
              <w:numPr>
                <w:ilvl w:val="0"/>
                <w:numId w:val="2"/>
              </w:numPr>
              <w:spacing w:line="360" w:lineRule="auto"/>
              <w:ind w:left="0" w:leftChars="0" w:firstLine="0" w:firstLineChars="0"/>
              <w:rPr>
                <w:rFonts w:ascii="宋体" w:hAnsi="宋体" w:eastAsia="宋体" w:cs="Times New Roman"/>
                <w:bCs/>
                <w:iCs/>
                <w:sz w:val="24"/>
                <w:szCs w:val="24"/>
              </w:rPr>
            </w:pPr>
            <w:r>
              <w:rPr>
                <w:rFonts w:ascii="宋体" w:hAnsi="宋体" w:eastAsia="宋体" w:cs="Times New Roman"/>
                <w:bCs/>
                <w:iCs/>
                <w:sz w:val="24"/>
                <w:szCs w:val="24"/>
              </w:rPr>
              <w:t>Mini LED封装材料。与</w:t>
            </w:r>
            <w:r>
              <w:rPr>
                <w:rFonts w:hint="eastAsia" w:ascii="宋体" w:hAnsi="宋体" w:eastAsia="宋体" w:cs="Times New Roman"/>
                <w:bCs/>
                <w:iCs/>
                <w:sz w:val="24"/>
                <w:szCs w:val="24"/>
              </w:rPr>
              <w:t>M</w:t>
            </w:r>
            <w:r>
              <w:rPr>
                <w:rFonts w:ascii="宋体" w:hAnsi="宋体" w:eastAsia="宋体" w:cs="Times New Roman"/>
                <w:bCs/>
                <w:iCs/>
                <w:sz w:val="24"/>
                <w:szCs w:val="24"/>
              </w:rPr>
              <w:t>ini LED相关的黑膜、饰纹膜及其他材料，上半年市场拓展取得较大的突破，已向部分主流</w:t>
            </w:r>
            <w:r>
              <w:rPr>
                <w:rFonts w:hint="eastAsia" w:ascii="宋体" w:hAnsi="宋体" w:eastAsia="宋体" w:cs="Times New Roman"/>
                <w:bCs/>
                <w:iCs/>
                <w:sz w:val="24"/>
                <w:szCs w:val="24"/>
              </w:rPr>
              <w:t>M</w:t>
            </w:r>
            <w:r>
              <w:rPr>
                <w:rFonts w:ascii="宋体" w:hAnsi="宋体" w:eastAsia="宋体" w:cs="Times New Roman"/>
                <w:bCs/>
                <w:iCs/>
                <w:sz w:val="24"/>
                <w:szCs w:val="24"/>
              </w:rPr>
              <w:t>ini LED厂商出货，</w:t>
            </w:r>
            <w:r>
              <w:rPr>
                <w:rFonts w:hint="eastAsia" w:ascii="宋体" w:hAnsi="宋体" w:eastAsia="宋体" w:cs="Times New Roman"/>
                <w:bCs/>
                <w:iCs/>
                <w:sz w:val="24"/>
                <w:szCs w:val="24"/>
              </w:rPr>
              <w:t>部分</w:t>
            </w:r>
            <w:r>
              <w:rPr>
                <w:rFonts w:ascii="宋体" w:hAnsi="宋体" w:eastAsia="宋体" w:cs="Times New Roman"/>
                <w:bCs/>
                <w:iCs/>
                <w:sz w:val="24"/>
                <w:szCs w:val="24"/>
              </w:rPr>
              <w:t>头部屏厂已对亚微新材进行了审厂。</w:t>
            </w:r>
          </w:p>
          <w:p>
            <w:pPr>
              <w:pStyle w:val="17"/>
              <w:numPr>
                <w:ilvl w:val="0"/>
                <w:numId w:val="2"/>
              </w:numPr>
              <w:spacing w:line="360" w:lineRule="auto"/>
              <w:ind w:left="0" w:leftChars="0" w:firstLine="0" w:firstLineChars="0"/>
              <w:rPr>
                <w:rFonts w:ascii="宋体" w:hAnsi="宋体" w:eastAsia="宋体" w:cs="Times New Roman"/>
                <w:bCs/>
                <w:iCs/>
                <w:sz w:val="24"/>
                <w:szCs w:val="24"/>
              </w:rPr>
            </w:pPr>
            <w:r>
              <w:rPr>
                <w:rFonts w:hint="eastAsia" w:ascii="宋体" w:hAnsi="宋体" w:eastAsia="宋体" w:cs="Times New Roman"/>
                <w:bCs/>
                <w:iCs/>
                <w:sz w:val="24"/>
                <w:szCs w:val="24"/>
              </w:rPr>
              <w:t>Micro LED巨量转移薄膜。目前亚微新材是国内为数不多已实现巨量转移薄膜小批量出货的公司。在Micro LED领域取得了显著的技术进展，其采用特殊工艺制造，具备均匀的薄膜厚度（25-400微米，精度±5%）、高透明度（透光率&gt;90%）、低雾度（&lt;5%）以及优异的耐温性能和粘着性能，能够有效吸收冲击、防止部件破损，并且在加工过程中易于调整位置和实现无残胶分离。这些特性使其成为适用于Micro LED巨量转移的理想材料，能够提高Micro LED的良品率，且降低其生产成本，从而推动Micro LED的量产。在商业化方面，目前已有1家主流客户实现小批量量产，1家客户进入中试阶段，还有数家客户正在进行测试，表明该材料在市场中受到高度关注并逐步获得认可。随着技术的持续优化和市场拓展，亚微新材巨量转移薄膜是有望在更多客户中实现量产。</w:t>
            </w:r>
          </w:p>
          <w:p>
            <w:pPr>
              <w:pStyle w:val="17"/>
              <w:numPr>
                <w:ilvl w:val="0"/>
                <w:numId w:val="2"/>
              </w:numPr>
              <w:spacing w:line="360" w:lineRule="auto"/>
              <w:ind w:left="0" w:leftChars="0" w:firstLine="0" w:firstLineChars="0"/>
              <w:rPr>
                <w:rFonts w:ascii="宋体" w:hAnsi="宋体" w:eastAsia="宋体" w:cs="Times New Roman"/>
                <w:bCs/>
                <w:iCs/>
                <w:sz w:val="24"/>
                <w:szCs w:val="24"/>
              </w:rPr>
            </w:pPr>
            <w:r>
              <w:rPr>
                <w:rFonts w:hint="eastAsia" w:ascii="宋体" w:hAnsi="宋体" w:eastAsia="宋体" w:cs="Times New Roman"/>
                <w:bCs/>
                <w:iCs/>
                <w:sz w:val="24"/>
                <w:szCs w:val="24"/>
              </w:rPr>
              <w:t>水汽阻隔膜。亚微新材是国内为数不多能将水汽阻隔率做到十的负四次方的公司，水汽阻隔膜广泛应用于墨水屏、电子书的封装，同时，也可用于柔性钙钛矿，提高钙钛矿的稳定性和使用寿命。目前，亚微新材水汽阻隔膜已成功向国内一家柔性钙钛矿厂商出货，实现了在柔性钙钛矿领域零的突破，但由于柔性钙钛矿尚处于行业发展初期，该业务收入贡献较小。</w:t>
            </w:r>
          </w:p>
          <w:p>
            <w:pPr>
              <w:pStyle w:val="17"/>
              <w:numPr>
                <w:ilvl w:val="0"/>
                <w:numId w:val="2"/>
              </w:numPr>
              <w:spacing w:line="360" w:lineRule="auto"/>
              <w:ind w:left="0" w:leftChars="0" w:firstLine="0" w:firstLineChars="0"/>
              <w:rPr>
                <w:rFonts w:ascii="宋体" w:hAnsi="宋体" w:eastAsia="宋体" w:cs="Times New Roman"/>
                <w:bCs/>
                <w:iCs/>
                <w:sz w:val="24"/>
                <w:szCs w:val="24"/>
              </w:rPr>
            </w:pPr>
            <w:r>
              <w:rPr>
                <w:rFonts w:ascii="宋体" w:hAnsi="宋体" w:eastAsia="宋体" w:cs="Times New Roman"/>
                <w:bCs/>
                <w:iCs/>
                <w:sz w:val="24"/>
                <w:szCs w:val="24"/>
              </w:rPr>
              <w:t>磁性材料涂布。公司积极配合客户的研发工作，目前尚不清楚客户项目进展。</w:t>
            </w:r>
          </w:p>
          <w:p>
            <w:pPr>
              <w:spacing w:line="360" w:lineRule="auto"/>
              <w:rPr>
                <w:rFonts w:ascii="宋体" w:hAnsi="宋体" w:eastAsia="宋体" w:cs="Times New Roman"/>
                <w:bCs/>
                <w:iCs/>
                <w:sz w:val="24"/>
                <w:szCs w:val="24"/>
              </w:rPr>
            </w:pPr>
          </w:p>
          <w:p>
            <w:pPr>
              <w:spacing w:line="360" w:lineRule="auto"/>
              <w:rPr>
                <w:rFonts w:hint="eastAsia" w:ascii="宋体" w:hAnsi="宋体" w:eastAsia="宋体" w:cs="Times New Roman"/>
                <w:b/>
                <w:iCs/>
                <w:sz w:val="24"/>
                <w:szCs w:val="24"/>
              </w:rPr>
            </w:pPr>
            <w:r>
              <w:rPr>
                <w:rFonts w:hint="eastAsia" w:ascii="宋体" w:hAnsi="宋体" w:eastAsia="宋体" w:cs="Times New Roman"/>
                <w:b/>
                <w:iCs/>
                <w:sz w:val="24"/>
                <w:szCs w:val="24"/>
                <w:lang w:val="en-US" w:eastAsia="zh-CN"/>
              </w:rPr>
              <w:t>四、</w:t>
            </w:r>
            <w:r>
              <w:rPr>
                <w:rFonts w:hint="eastAsia" w:ascii="宋体" w:hAnsi="宋体" w:eastAsia="宋体" w:cs="Times New Roman"/>
                <w:b/>
                <w:iCs/>
                <w:sz w:val="24"/>
                <w:szCs w:val="24"/>
              </w:rPr>
              <w:t>亚微新材拟人体皮肤材料的工艺特点、难点及商业化进展？</w:t>
            </w:r>
          </w:p>
          <w:p>
            <w:pPr>
              <w:spacing w:line="360" w:lineRule="auto"/>
              <w:rPr>
                <w:rFonts w:ascii="宋体" w:hAnsi="宋体" w:eastAsia="宋体" w:cs="Times New Roman"/>
                <w:bCs/>
                <w:iCs/>
                <w:sz w:val="24"/>
                <w:szCs w:val="24"/>
              </w:rPr>
            </w:pPr>
            <w:r>
              <w:rPr>
                <w:rFonts w:ascii="宋体" w:hAnsi="宋体" w:eastAsia="宋体" w:cs="Times New Roman"/>
                <w:bCs/>
                <w:iCs/>
                <w:sz w:val="24"/>
                <w:szCs w:val="24"/>
              </w:rPr>
              <w:t>拟人体皮肤材料采用有机硅（如PDMS）作为基材，通过纳米压印工艺复制人体皮肤的微观结构，实现了触感逼真和快速反馈的仿生效果。其制造工艺包括涂布和纳米压印。拟人体肤感材料的难点，主要是通过配方，实现材料的触感逼真、可延展、弯曲不变形、耐磨等特性。其需要与柔性传感器厂商或</w:t>
            </w:r>
            <w:r>
              <w:rPr>
                <w:rFonts w:hint="eastAsia" w:ascii="宋体" w:hAnsi="宋体" w:eastAsia="宋体" w:cs="Times New Roman"/>
                <w:bCs/>
                <w:iCs/>
                <w:sz w:val="24"/>
                <w:szCs w:val="24"/>
              </w:rPr>
              <w:t>F</w:t>
            </w:r>
            <w:r>
              <w:rPr>
                <w:rFonts w:ascii="宋体" w:hAnsi="宋体" w:eastAsia="宋体" w:cs="Times New Roman"/>
                <w:bCs/>
                <w:iCs/>
                <w:sz w:val="24"/>
                <w:szCs w:val="24"/>
              </w:rPr>
              <w:t>PC厂商合作，才能制备出完整的拟人体皮肤材料。根据拟人体皮肤材料使用场景的不同，需搭配不同的传感器类型，目前，公司已与部分磁电传感器、压阻传感器及</w:t>
            </w:r>
            <w:r>
              <w:rPr>
                <w:rFonts w:hint="eastAsia" w:ascii="宋体" w:hAnsi="宋体" w:eastAsia="宋体" w:cs="Times New Roman"/>
                <w:bCs/>
                <w:iCs/>
                <w:sz w:val="24"/>
                <w:szCs w:val="24"/>
              </w:rPr>
              <w:t>F</w:t>
            </w:r>
            <w:r>
              <w:rPr>
                <w:rFonts w:ascii="宋体" w:hAnsi="宋体" w:eastAsia="宋体" w:cs="Times New Roman"/>
                <w:bCs/>
                <w:iCs/>
                <w:sz w:val="24"/>
                <w:szCs w:val="24"/>
              </w:rPr>
              <w:t>PC厂商进行了对接，并已向压阻传感器公司及</w:t>
            </w:r>
            <w:r>
              <w:rPr>
                <w:rFonts w:hint="eastAsia" w:ascii="宋体" w:hAnsi="宋体" w:eastAsia="宋体" w:cs="Times New Roman"/>
                <w:bCs/>
                <w:iCs/>
                <w:sz w:val="24"/>
                <w:szCs w:val="24"/>
              </w:rPr>
              <w:t>F</w:t>
            </w:r>
            <w:r>
              <w:rPr>
                <w:rFonts w:ascii="宋体" w:hAnsi="宋体" w:eastAsia="宋体" w:cs="Times New Roman"/>
                <w:bCs/>
                <w:iCs/>
                <w:sz w:val="24"/>
                <w:szCs w:val="24"/>
              </w:rPr>
              <w:t>PC厂商进行了送样</w:t>
            </w:r>
            <w:r>
              <w:rPr>
                <w:rFonts w:hint="eastAsia" w:ascii="宋体" w:hAnsi="宋体" w:eastAsia="宋体" w:cs="Times New Roman"/>
                <w:bCs/>
                <w:iCs/>
                <w:sz w:val="24"/>
                <w:szCs w:val="24"/>
              </w:rPr>
              <w:t>。</w:t>
            </w:r>
            <w:r>
              <w:rPr>
                <w:rFonts w:ascii="宋体" w:hAnsi="宋体" w:eastAsia="宋体" w:cs="Times New Roman"/>
                <w:bCs/>
                <w:iCs/>
                <w:sz w:val="24"/>
                <w:szCs w:val="24"/>
              </w:rPr>
              <w:t>拟人体皮肤材料</w:t>
            </w:r>
            <w:r>
              <w:rPr>
                <w:rFonts w:hint="eastAsia" w:ascii="宋体" w:hAnsi="宋体" w:eastAsia="宋体" w:cs="Times New Roman"/>
                <w:bCs/>
                <w:iCs/>
                <w:sz w:val="24"/>
                <w:szCs w:val="24"/>
              </w:rPr>
              <w:t>除应用到人形机器人外，还可应用到医疗、家居、汽车座椅等领域。</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附件清单（如有）</w:t>
            </w:r>
          </w:p>
        </w:tc>
        <w:tc>
          <w:tcPr>
            <w:tcW w:w="6025" w:type="dxa"/>
            <w:shd w:val="clear" w:color="auto" w:fill="auto"/>
          </w:tcPr>
          <w:p>
            <w:pPr>
              <w:spacing w:line="360" w:lineRule="auto"/>
              <w:rPr>
                <w:rFonts w:ascii="宋体" w:hAnsi="宋体" w:eastAsia="宋体" w:cs="Times New Roman"/>
                <w:bCs/>
                <w:iCs/>
                <w:sz w:val="24"/>
                <w:szCs w:val="24"/>
              </w:rPr>
            </w:pPr>
            <w:r>
              <w:rPr>
                <w:rFonts w:hint="eastAsia" w:ascii="宋体" w:hAnsi="宋体" w:eastAsia="宋体" w:cs="Times New Roman"/>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是否涉及应当披露重大信息</w:t>
            </w:r>
          </w:p>
        </w:tc>
        <w:tc>
          <w:tcPr>
            <w:tcW w:w="6025" w:type="dxa"/>
            <w:shd w:val="clear" w:color="auto" w:fill="auto"/>
          </w:tcPr>
          <w:p>
            <w:pPr>
              <w:spacing w:line="360" w:lineRule="auto"/>
              <w:jc w:val="left"/>
              <w:rPr>
                <w:rFonts w:ascii="宋体" w:hAnsi="宋体" w:eastAsia="宋体" w:cs="Times New Roman"/>
                <w:bCs/>
                <w:iCs/>
                <w:sz w:val="24"/>
                <w:szCs w:val="24"/>
              </w:rPr>
            </w:pPr>
            <w:r>
              <w:rPr>
                <w:rFonts w:hint="eastAsia" w:ascii="宋体" w:hAnsi="宋体" w:eastAsia="宋体" w:cs="Times New Roman"/>
                <w:bCs/>
                <w:iCs/>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shd w:val="clear" w:color="auto" w:fill="auto"/>
            <w:vAlign w:val="center"/>
          </w:tcPr>
          <w:p>
            <w:pPr>
              <w:spacing w:line="360" w:lineRule="auto"/>
              <w:rPr>
                <w:rFonts w:ascii="宋体" w:hAnsi="宋体" w:eastAsia="宋体" w:cs="Times New Roman"/>
                <w:b/>
                <w:bCs/>
                <w:iCs/>
                <w:sz w:val="24"/>
                <w:szCs w:val="24"/>
              </w:rPr>
            </w:pPr>
            <w:r>
              <w:rPr>
                <w:rFonts w:hint="eastAsia" w:ascii="宋体" w:hAnsi="宋体" w:eastAsia="宋体" w:cs="Times New Roman"/>
                <w:b/>
                <w:bCs/>
                <w:iCs/>
                <w:sz w:val="24"/>
                <w:szCs w:val="24"/>
              </w:rPr>
              <w:t>日期</w:t>
            </w:r>
          </w:p>
        </w:tc>
        <w:tc>
          <w:tcPr>
            <w:tcW w:w="6025" w:type="dxa"/>
            <w:shd w:val="clear" w:color="auto" w:fill="auto"/>
            <w:vAlign w:val="center"/>
          </w:tcPr>
          <w:p>
            <w:pPr>
              <w:spacing w:line="360" w:lineRule="auto"/>
              <w:rPr>
                <w:rFonts w:ascii="宋体" w:hAnsi="宋体" w:eastAsia="宋体" w:cs="Times New Roman"/>
                <w:iCs/>
                <w:sz w:val="24"/>
                <w:szCs w:val="24"/>
              </w:rPr>
            </w:pPr>
            <w:r>
              <w:rPr>
                <w:rFonts w:hint="eastAsia" w:ascii="宋体" w:hAnsi="宋体" w:eastAsia="宋体" w:cs="Times New Roman"/>
                <w:iCs/>
                <w:sz w:val="24"/>
                <w:szCs w:val="24"/>
              </w:rPr>
              <w:t>2025年</w:t>
            </w:r>
            <w:r>
              <w:rPr>
                <w:rFonts w:hint="eastAsia" w:ascii="宋体" w:hAnsi="宋体" w:eastAsia="宋体" w:cs="Times New Roman"/>
                <w:iCs/>
                <w:sz w:val="24"/>
                <w:szCs w:val="24"/>
                <w:lang w:val="en-US" w:eastAsia="zh-CN"/>
              </w:rPr>
              <w:t>6</w:t>
            </w:r>
            <w:r>
              <w:rPr>
                <w:rFonts w:hint="eastAsia" w:ascii="宋体" w:hAnsi="宋体" w:eastAsia="宋体" w:cs="Times New Roman"/>
                <w:iCs/>
                <w:sz w:val="24"/>
                <w:szCs w:val="24"/>
              </w:rPr>
              <w:t>月1</w:t>
            </w:r>
            <w:r>
              <w:rPr>
                <w:rFonts w:hint="eastAsia" w:ascii="宋体" w:hAnsi="宋体" w:eastAsia="宋体" w:cs="Times New Roman"/>
                <w:iCs/>
                <w:sz w:val="24"/>
                <w:szCs w:val="24"/>
                <w:lang w:val="en-US" w:eastAsia="zh-CN"/>
              </w:rPr>
              <w:t>2</w:t>
            </w:r>
            <w:r>
              <w:rPr>
                <w:rFonts w:hint="eastAsia" w:ascii="宋体" w:hAnsi="宋体" w:eastAsia="宋体" w:cs="Times New Roman"/>
                <w:iCs/>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A595C"/>
    <w:multiLevelType w:val="multilevel"/>
    <w:tmpl w:val="A95A595C"/>
    <w:lvl w:ilvl="0" w:tentative="0">
      <w:start w:val="1"/>
      <w:numFmt w:val="decimal"/>
      <w:lvlText w:val="%1、"/>
      <w:lvlJc w:val="left"/>
      <w:pPr>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205D83"/>
    <w:multiLevelType w:val="multilevel"/>
    <w:tmpl w:val="52205D83"/>
    <w:lvl w:ilvl="0" w:tentative="0">
      <w:start w:val="2"/>
      <w:numFmt w:val="japaneseCounting"/>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MDY3Y2RiZDljNTAxNDIzMzNlMTRkMmRkYjJhZGMifQ=="/>
  </w:docVars>
  <w:rsids>
    <w:rsidRoot w:val="00D20A50"/>
    <w:rsid w:val="000C3350"/>
    <w:rsid w:val="00194BFD"/>
    <w:rsid w:val="00252C5E"/>
    <w:rsid w:val="004C0075"/>
    <w:rsid w:val="005634F6"/>
    <w:rsid w:val="00617E4A"/>
    <w:rsid w:val="006244DD"/>
    <w:rsid w:val="00684C5E"/>
    <w:rsid w:val="007D17C3"/>
    <w:rsid w:val="00A9489F"/>
    <w:rsid w:val="00AE4EAC"/>
    <w:rsid w:val="00AE5D8A"/>
    <w:rsid w:val="00C736CB"/>
    <w:rsid w:val="00C9538C"/>
    <w:rsid w:val="00D20A50"/>
    <w:rsid w:val="00DC643F"/>
    <w:rsid w:val="00EE194E"/>
    <w:rsid w:val="00F02B9B"/>
    <w:rsid w:val="00FB07AB"/>
    <w:rsid w:val="04FF506B"/>
    <w:rsid w:val="0D1A02B4"/>
    <w:rsid w:val="11796994"/>
    <w:rsid w:val="184328A0"/>
    <w:rsid w:val="18CB6C94"/>
    <w:rsid w:val="1D80344C"/>
    <w:rsid w:val="21226945"/>
    <w:rsid w:val="270C74B9"/>
    <w:rsid w:val="27430976"/>
    <w:rsid w:val="28DA1DEF"/>
    <w:rsid w:val="2D551541"/>
    <w:rsid w:val="32BF120B"/>
    <w:rsid w:val="32C67EE7"/>
    <w:rsid w:val="32DC0D89"/>
    <w:rsid w:val="376437A6"/>
    <w:rsid w:val="3DA2332F"/>
    <w:rsid w:val="43062FC1"/>
    <w:rsid w:val="48DD3F9B"/>
    <w:rsid w:val="4BEA6ADC"/>
    <w:rsid w:val="4CD90842"/>
    <w:rsid w:val="519A433C"/>
    <w:rsid w:val="54060014"/>
    <w:rsid w:val="55FC65E0"/>
    <w:rsid w:val="59663055"/>
    <w:rsid w:val="5B9223A9"/>
    <w:rsid w:val="5EBF2697"/>
    <w:rsid w:val="5FF21B28"/>
    <w:rsid w:val="63E00ABA"/>
    <w:rsid w:val="67746F85"/>
    <w:rsid w:val="68F64248"/>
    <w:rsid w:val="6FE91939"/>
    <w:rsid w:val="70143ED4"/>
    <w:rsid w:val="71C24EFF"/>
    <w:rsid w:val="72D1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unhideWhenUsed/>
    <w:qFormat/>
    <w:uiPriority w:val="99"/>
    <w:pPr>
      <w:jc w:val="left"/>
    </w:pPr>
  </w:style>
  <w:style w:type="paragraph" w:styleId="3">
    <w:name w:val="Balloon Text"/>
    <w:basedOn w:val="1"/>
    <w:link w:val="16"/>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table" w:styleId="8">
    <w:name w:val="Table Grid"/>
    <w:basedOn w:val="7"/>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autoRedefine/>
    <w:unhideWhenUsed/>
    <w:qFormat/>
    <w:uiPriority w:val="99"/>
    <w:rPr>
      <w:sz w:val="21"/>
      <w:szCs w:val="21"/>
    </w:rPr>
  </w:style>
  <w:style w:type="character" w:customStyle="1" w:styleId="11">
    <w:name w:val="页眉 Char"/>
    <w:basedOn w:val="9"/>
    <w:link w:val="5"/>
    <w:autoRedefine/>
    <w:qFormat/>
    <w:uiPriority w:val="99"/>
    <w:rPr>
      <w:kern w:val="2"/>
      <w:sz w:val="18"/>
      <w:szCs w:val="18"/>
    </w:rPr>
  </w:style>
  <w:style w:type="character" w:customStyle="1" w:styleId="12">
    <w:name w:val="页脚 Char"/>
    <w:basedOn w:val="9"/>
    <w:link w:val="4"/>
    <w:autoRedefine/>
    <w:qFormat/>
    <w:uiPriority w:val="99"/>
    <w:rPr>
      <w:kern w:val="2"/>
      <w:sz w:val="18"/>
      <w:szCs w:val="18"/>
    </w:rPr>
  </w:style>
  <w:style w:type="paragraph" w:customStyle="1" w:styleId="13">
    <w:name w:val="列出段落1"/>
    <w:basedOn w:val="1"/>
    <w:autoRedefine/>
    <w:qFormat/>
    <w:uiPriority w:val="99"/>
    <w:pPr>
      <w:ind w:firstLine="420" w:firstLineChars="200"/>
    </w:pPr>
  </w:style>
  <w:style w:type="character" w:customStyle="1" w:styleId="14">
    <w:name w:val="批注文字 Char"/>
    <w:basedOn w:val="9"/>
    <w:link w:val="2"/>
    <w:autoRedefine/>
    <w:semiHidden/>
    <w:qFormat/>
    <w:uiPriority w:val="99"/>
    <w:rPr>
      <w:kern w:val="2"/>
      <w:sz w:val="21"/>
      <w:szCs w:val="22"/>
    </w:rPr>
  </w:style>
  <w:style w:type="character" w:customStyle="1" w:styleId="15">
    <w:name w:val="批注主题 Char"/>
    <w:basedOn w:val="14"/>
    <w:link w:val="6"/>
    <w:autoRedefine/>
    <w:semiHidden/>
    <w:qFormat/>
    <w:uiPriority w:val="99"/>
    <w:rPr>
      <w:b/>
      <w:bCs/>
      <w:kern w:val="2"/>
      <w:sz w:val="21"/>
      <w:szCs w:val="22"/>
    </w:rPr>
  </w:style>
  <w:style w:type="character" w:customStyle="1" w:styleId="16">
    <w:name w:val="批注框文本 Char"/>
    <w:basedOn w:val="9"/>
    <w:link w:val="3"/>
    <w:autoRedefine/>
    <w:semiHidden/>
    <w:qFormat/>
    <w:uiPriority w:val="99"/>
    <w:rPr>
      <w:kern w:val="2"/>
      <w:sz w:val="18"/>
      <w:szCs w:val="18"/>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333</Words>
  <Characters>1904</Characters>
  <Lines>15</Lines>
  <Paragraphs>4</Paragraphs>
  <TotalTime>0</TotalTime>
  <ScaleCrop>false</ScaleCrop>
  <LinksUpToDate>false</LinksUpToDate>
  <CharactersWithSpaces>2233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2025-06-11T04:08:00Z</dcterms:created>
  <dc:creator>Li Xiang</dc:creator>
  <cp:lastModifiedBy>谢怡凡</cp:lastModifiedBy>
  <dcterms:modified xsi:type="dcterms:W3CDTF">2025-06-12T09:25:27Z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E1A8CA8A852F41E698FBBC1D47AA9CC9_13</vt:lpwstr>
  </property>
</Properties>
</file>