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hint="eastAsia" w:asciiTheme="minorEastAsia" w:hAnsiTheme="minorEastAsia" w:eastAsiaTheme="minorEastAsia" w:cstheme="minorEastAsia"/>
          <w:bCs/>
          <w:iCs/>
          <w:color w:val="000000"/>
          <w:sz w:val="24"/>
        </w:rPr>
      </w:pPr>
      <w:r>
        <w:rPr>
          <w:rFonts w:hAnsi="宋体"/>
          <w:bCs/>
          <w:iCs/>
          <w:color w:val="000000"/>
          <w:sz w:val="24"/>
        </w:rPr>
        <w:t>证券代码：</w:t>
      </w:r>
      <w:r>
        <w:rPr>
          <w:rFonts w:hint="eastAsia" w:asciiTheme="minorEastAsia" w:hAnsiTheme="minorEastAsia" w:eastAsiaTheme="minorEastAsia" w:cstheme="minorEastAsia"/>
          <w:color w:val="000000"/>
          <w:sz w:val="24"/>
        </w:rPr>
        <w:t xml:space="preserve">600141                             </w:t>
      </w: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bCs/>
          <w:iCs/>
          <w:color w:val="000000"/>
          <w:sz w:val="24"/>
        </w:rPr>
        <w:t>证券简称：</w:t>
      </w:r>
      <w:r>
        <w:rPr>
          <w:rFonts w:hint="eastAsia" w:asciiTheme="minorEastAsia" w:hAnsiTheme="minorEastAsia" w:eastAsiaTheme="minorEastAsia" w:cstheme="minorEastAsia"/>
          <w:color w:val="000000"/>
          <w:sz w:val="24"/>
        </w:rPr>
        <w:t>兴发集团</w:t>
      </w:r>
    </w:p>
    <w:p>
      <w:pPr>
        <w:spacing w:before="156" w:beforeLines="50" w:after="156" w:afterLines="50" w:line="400" w:lineRule="exact"/>
        <w:rPr>
          <w:rFonts w:hint="default" w:eastAsia="宋体"/>
          <w:bCs/>
          <w:iCs/>
          <w:color w:val="000000"/>
          <w:sz w:val="24"/>
          <w:lang w:val="en-US" w:eastAsia="zh-CN"/>
        </w:rPr>
      </w:pPr>
      <w:r>
        <w:rPr>
          <w:rFonts w:hint="eastAsia" w:asciiTheme="minorEastAsia" w:hAnsiTheme="minorEastAsia" w:eastAsiaTheme="minorEastAsia" w:cstheme="minorEastAsia"/>
          <w:bCs/>
          <w:iCs/>
          <w:color w:val="000000"/>
          <w:sz w:val="24"/>
          <w:lang w:val="en-US" w:eastAsia="zh-CN"/>
        </w:rPr>
        <w:t>转债</w:t>
      </w:r>
      <w:r>
        <w:rPr>
          <w:rFonts w:hint="eastAsia" w:asciiTheme="minorEastAsia" w:hAnsiTheme="minorEastAsia" w:eastAsiaTheme="minorEastAsia" w:cstheme="minorEastAsia"/>
          <w:bCs/>
          <w:iCs/>
          <w:color w:val="000000"/>
          <w:sz w:val="24"/>
        </w:rPr>
        <w:t>代码：</w:t>
      </w:r>
      <w:r>
        <w:rPr>
          <w:rFonts w:hint="eastAsia" w:asciiTheme="minorEastAsia" w:hAnsiTheme="minorEastAsia" w:eastAsiaTheme="minorEastAsia" w:cstheme="minorEastAsia"/>
          <w:bCs/>
          <w:iCs/>
          <w:color w:val="000000"/>
          <w:sz w:val="24"/>
          <w:lang w:val="en-US" w:eastAsia="zh-CN"/>
        </w:rPr>
        <w:t>110089</w:t>
      </w:r>
      <w:r>
        <w:rPr>
          <w:color w:val="000000"/>
          <w:sz w:val="24"/>
        </w:rPr>
        <w:t xml:space="preserve">                             </w:t>
      </w:r>
      <w:r>
        <w:rPr>
          <w:rFonts w:hint="eastAsia"/>
          <w:color w:val="000000"/>
          <w:sz w:val="24"/>
          <w:lang w:val="en-US" w:eastAsia="zh-CN"/>
        </w:rPr>
        <w:t xml:space="preserve">               转债</w:t>
      </w:r>
      <w:r>
        <w:rPr>
          <w:rFonts w:hAnsi="宋体"/>
          <w:bCs/>
          <w:iCs/>
          <w:color w:val="000000"/>
          <w:sz w:val="24"/>
        </w:rPr>
        <w:t>简称：</w:t>
      </w:r>
      <w:r>
        <w:rPr>
          <w:rFonts w:hint="eastAsia" w:hAnsi="宋体"/>
          <w:bCs/>
          <w:iCs/>
          <w:color w:val="000000"/>
          <w:sz w:val="24"/>
          <w:lang w:val="en-US" w:eastAsia="zh-CN"/>
        </w:rPr>
        <w:t>兴发转债</w:t>
      </w:r>
    </w:p>
    <w:p>
      <w:pPr>
        <w:spacing w:before="156" w:beforeLines="50" w:after="156" w:afterLines="50" w:line="400" w:lineRule="exact"/>
        <w:jc w:val="center"/>
        <w:rPr>
          <w:rFonts w:hint="default" w:ascii="宋体" w:hAnsi="宋体"/>
          <w:b/>
          <w:bCs/>
          <w:iCs/>
          <w:color w:val="000000"/>
          <w:sz w:val="32"/>
          <w:szCs w:val="32"/>
        </w:rPr>
      </w:pPr>
    </w:p>
    <w:p>
      <w:pPr>
        <w:spacing w:before="156" w:beforeLines="50" w:after="156" w:afterLines="50" w:line="400" w:lineRule="exact"/>
        <w:jc w:val="center"/>
        <w:rPr>
          <w:rFonts w:hint="eastAsia" w:ascii="宋体" w:hAnsi="宋体"/>
          <w:b/>
          <w:bCs/>
          <w:iCs/>
          <w:color w:val="000000"/>
          <w:sz w:val="32"/>
          <w:szCs w:val="32"/>
        </w:rPr>
      </w:pPr>
      <w:r>
        <w:rPr>
          <w:rFonts w:hint="default" w:ascii="宋体" w:hAnsi="宋体"/>
          <w:b/>
          <w:bCs/>
          <w:iCs/>
          <w:color w:val="000000"/>
          <w:sz w:val="32"/>
          <w:szCs w:val="32"/>
        </w:rPr>
        <w:t>湖北兴发化工集团股份有限公司</w:t>
      </w:r>
      <w:r>
        <w:rPr>
          <w:rFonts w:hint="eastAsia" w:ascii="宋体" w:hAnsi="宋体"/>
          <w:b/>
          <w:bCs/>
          <w:iCs/>
          <w:color w:val="000000"/>
          <w:sz w:val="32"/>
          <w:szCs w:val="32"/>
        </w:rPr>
        <w:t>投资者关系活动记录表</w:t>
      </w:r>
    </w:p>
    <w:p>
      <w:pPr>
        <w:spacing w:line="400" w:lineRule="exact"/>
        <w:jc w:val="both"/>
        <w:rPr>
          <w:rFonts w:hint="default" w:eastAsia="宋体"/>
          <w:bCs/>
          <w:iCs/>
          <w:color w:val="000000"/>
          <w:sz w:val="24"/>
          <w:lang w:val="en-US" w:eastAsia="zh-CN"/>
        </w:rPr>
      </w:pPr>
      <w:r>
        <w:rPr>
          <w:rFonts w:hint="eastAsia" w:ascii="宋体" w:hAnsi="宋体"/>
          <w:bCs/>
          <w:iCs/>
          <w:color w:val="000000"/>
          <w:sz w:val="24"/>
          <w:lang w:val="en-US" w:eastAsia="zh-CN"/>
        </w:rPr>
        <w:t>编号：2025-001</w:t>
      </w:r>
    </w:p>
    <w:tbl>
      <w:tblPr>
        <w:tblStyle w:val="5"/>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rFonts w:hAnsi="宋体"/>
                <w:bCs/>
                <w:iCs/>
                <w:color w:val="000000"/>
                <w:kern w:val="0"/>
                <w:sz w:val="24"/>
              </w:rPr>
              <w:t>投资者关系活动类别</w:t>
            </w:r>
            <w:bookmarkStart w:id="0" w:name="_GoBack"/>
            <w:bookmarkEnd w:id="0"/>
          </w:p>
        </w:tc>
        <w:tc>
          <w:tcPr>
            <w:tcW w:w="7935"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rFonts w:hint="eastAsia"/>
                <w:bCs/>
                <w:iCs/>
                <w:color w:val="000000"/>
                <w:kern w:val="0"/>
                <w:sz w:val="24"/>
                <w:lang w:eastAsia="zh-CN"/>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rFonts w:hint="eastAsia"/>
                <w:bCs/>
                <w:iCs/>
                <w:color w:val="000000"/>
                <w:kern w:val="0"/>
                <w:sz w:val="24"/>
              </w:rPr>
              <w:t xml:space="preserve"> </w:t>
            </w:r>
            <w:r>
              <w:rPr>
                <w:rFonts w:hint="eastAsia"/>
                <w:bCs/>
                <w:iCs/>
                <w:color w:val="000000"/>
                <w:kern w:val="0"/>
                <w:sz w:val="24"/>
                <w:lang w:eastAsia="zh-CN"/>
              </w:rPr>
              <w:t>☑</w:t>
            </w:r>
            <w:r>
              <w:rPr>
                <w:rFonts w:hAnsi="宋体"/>
                <w:kern w:val="0"/>
                <w:sz w:val="24"/>
              </w:rPr>
              <w:t>业绩说明会</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参与单位名称及人员姓名</w:t>
            </w:r>
          </w:p>
        </w:tc>
        <w:tc>
          <w:tcPr>
            <w:tcW w:w="7935" w:type="dxa"/>
            <w:tcBorders>
              <w:top w:val="single" w:color="auto" w:sz="4" w:space="0"/>
              <w:left w:val="single" w:color="auto" w:sz="4" w:space="0"/>
              <w:bottom w:val="single" w:color="auto" w:sz="4" w:space="0"/>
              <w:right w:val="single" w:color="auto" w:sz="4" w:space="0"/>
            </w:tcBorders>
            <w:shd w:val="clear" w:color="auto" w:fill="auto"/>
            <w:noWrap w:val="0"/>
            <w:vAlign w:val="bottom"/>
          </w:tcPr>
          <w:p>
            <w:pPr>
              <w:spacing w:line="420" w:lineRule="exact"/>
              <w:rPr>
                <w:rFonts w:hint="default" w:ascii="宋体" w:hAnsi="宋体"/>
                <w:sz w:val="24"/>
                <w:lang w:val="en-US" w:eastAsia="zh-CN"/>
              </w:rPr>
            </w:pPr>
            <w:r>
              <w:rPr>
                <w:rFonts w:hint="eastAsia" w:ascii="宋体" w:hAnsi="宋体"/>
                <w:sz w:val="24"/>
                <w:lang w:val="en-US" w:eastAsia="zh-CN"/>
              </w:rPr>
              <w:t>东方证券、天风证券、华创证券、招商证券、合晟资产、财通资管、人保资产、申万宏源、平安基金、华泰证券、景顺长城、西部证券、国金证券、光大证券、华福证券、国投瑞银、长江证券、国投证券、中融新创、昇安私募、博时基金及投资者网上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时间</w:t>
            </w:r>
          </w:p>
        </w:tc>
        <w:tc>
          <w:tcPr>
            <w:tcW w:w="7935"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sz w:val="24"/>
              </w:rPr>
              <w:t>2025年</w:t>
            </w:r>
            <w:r>
              <w:rPr>
                <w:rFonts w:hint="eastAsia"/>
                <w:bCs/>
                <w:iCs/>
                <w:color w:val="000000"/>
                <w:sz w:val="24"/>
                <w:lang w:val="en-US" w:eastAsia="zh-CN"/>
              </w:rPr>
              <w:t>5</w:t>
            </w:r>
            <w:r>
              <w:rPr>
                <w:bCs/>
                <w:iCs/>
                <w:color w:val="000000"/>
                <w:sz w:val="24"/>
              </w:rPr>
              <w:t>月</w:t>
            </w:r>
            <w:r>
              <w:rPr>
                <w:rFonts w:hint="eastAsia"/>
                <w:bCs/>
                <w:iCs/>
                <w:color w:val="000000"/>
                <w:sz w:val="24"/>
                <w:lang w:val="en-US" w:eastAsia="zh-CN"/>
              </w:rPr>
              <w:t>7</w:t>
            </w:r>
            <w:r>
              <w:rPr>
                <w:bCs/>
                <w:iCs/>
                <w:color w:val="000000"/>
                <w:sz w:val="24"/>
              </w:rPr>
              <w:t>日</w:t>
            </w:r>
          </w:p>
          <w:p>
            <w:pPr>
              <w:spacing w:line="420" w:lineRule="exact"/>
              <w:rPr>
                <w:rFonts w:hint="eastAsia"/>
                <w:bCs/>
                <w:iCs/>
                <w:color w:val="000000"/>
                <w:sz w:val="24"/>
                <w:lang w:val="en-US" w:eastAsia="zh-CN"/>
              </w:rPr>
            </w:pPr>
            <w:r>
              <w:rPr>
                <w:rFonts w:hint="eastAsia"/>
                <w:bCs/>
                <w:iCs/>
                <w:color w:val="000000"/>
                <w:sz w:val="24"/>
                <w:lang w:val="en-US" w:eastAsia="zh-CN"/>
              </w:rPr>
              <w:t>2025年5月8日</w:t>
            </w:r>
          </w:p>
          <w:p>
            <w:pPr>
              <w:spacing w:line="420" w:lineRule="exact"/>
              <w:rPr>
                <w:rFonts w:hint="eastAsia"/>
                <w:bCs/>
                <w:iCs/>
                <w:color w:val="000000"/>
                <w:sz w:val="24"/>
                <w:lang w:val="en-US" w:eastAsia="zh-CN"/>
              </w:rPr>
            </w:pPr>
            <w:r>
              <w:rPr>
                <w:rFonts w:hint="eastAsia"/>
                <w:bCs/>
                <w:iCs/>
                <w:color w:val="000000"/>
                <w:sz w:val="24"/>
                <w:lang w:val="en-US" w:eastAsia="zh-CN"/>
              </w:rPr>
              <w:t>2025年5月9日</w:t>
            </w:r>
          </w:p>
          <w:p>
            <w:pPr>
              <w:spacing w:line="420" w:lineRule="exact"/>
              <w:rPr>
                <w:rFonts w:hint="eastAsia"/>
                <w:bCs/>
                <w:iCs/>
                <w:color w:val="000000"/>
                <w:sz w:val="24"/>
                <w:lang w:val="en-US" w:eastAsia="zh-CN"/>
              </w:rPr>
            </w:pPr>
            <w:r>
              <w:rPr>
                <w:rFonts w:hint="eastAsia"/>
                <w:bCs/>
                <w:iCs/>
                <w:color w:val="000000"/>
                <w:sz w:val="24"/>
                <w:lang w:val="en-US" w:eastAsia="zh-CN"/>
              </w:rPr>
              <w:t>2025年5月19日</w:t>
            </w:r>
          </w:p>
          <w:p>
            <w:pPr>
              <w:spacing w:line="420" w:lineRule="exact"/>
              <w:rPr>
                <w:rFonts w:hint="eastAsia"/>
                <w:bCs/>
                <w:iCs/>
                <w:color w:val="000000"/>
                <w:sz w:val="24"/>
                <w:lang w:val="en-US" w:eastAsia="zh-CN"/>
              </w:rPr>
            </w:pPr>
            <w:r>
              <w:rPr>
                <w:rFonts w:hint="eastAsia"/>
                <w:bCs/>
                <w:iCs/>
                <w:color w:val="000000"/>
                <w:sz w:val="24"/>
                <w:lang w:val="en-US" w:eastAsia="zh-CN"/>
              </w:rPr>
              <w:t>2025年5月20日</w:t>
            </w:r>
          </w:p>
          <w:p>
            <w:pPr>
              <w:spacing w:line="420" w:lineRule="exact"/>
              <w:rPr>
                <w:rFonts w:hint="eastAsia"/>
                <w:bCs/>
                <w:iCs/>
                <w:color w:val="000000"/>
                <w:sz w:val="24"/>
                <w:lang w:val="en-US" w:eastAsia="zh-CN"/>
              </w:rPr>
            </w:pPr>
            <w:r>
              <w:rPr>
                <w:rFonts w:hint="eastAsia"/>
                <w:bCs/>
                <w:iCs/>
                <w:color w:val="000000"/>
                <w:sz w:val="24"/>
                <w:lang w:val="en-US" w:eastAsia="zh-CN"/>
              </w:rPr>
              <w:t>2025年5月21日</w:t>
            </w:r>
          </w:p>
          <w:p>
            <w:pPr>
              <w:spacing w:line="420" w:lineRule="exact"/>
              <w:rPr>
                <w:rFonts w:hint="eastAsia"/>
                <w:bCs/>
                <w:iCs/>
                <w:color w:val="000000"/>
                <w:sz w:val="24"/>
                <w:lang w:val="en-US" w:eastAsia="zh-CN"/>
              </w:rPr>
            </w:pPr>
            <w:r>
              <w:rPr>
                <w:rFonts w:hint="eastAsia"/>
                <w:bCs/>
                <w:iCs/>
                <w:color w:val="000000"/>
                <w:sz w:val="24"/>
                <w:lang w:val="en-US" w:eastAsia="zh-CN"/>
              </w:rPr>
              <w:t>2025年5月22日</w:t>
            </w:r>
          </w:p>
          <w:p>
            <w:pPr>
              <w:spacing w:line="420" w:lineRule="exact"/>
              <w:rPr>
                <w:rFonts w:hint="eastAsia"/>
                <w:bCs/>
                <w:iCs/>
                <w:color w:val="000000"/>
                <w:sz w:val="24"/>
                <w:lang w:val="en-US" w:eastAsia="zh-CN"/>
              </w:rPr>
            </w:pPr>
            <w:r>
              <w:rPr>
                <w:rFonts w:hint="eastAsia"/>
                <w:bCs/>
                <w:iCs/>
                <w:color w:val="000000"/>
                <w:sz w:val="24"/>
                <w:lang w:val="en-US" w:eastAsia="zh-CN"/>
              </w:rPr>
              <w:t>2025年6月11日</w:t>
            </w:r>
          </w:p>
          <w:p>
            <w:pPr>
              <w:spacing w:line="420" w:lineRule="exact"/>
              <w:rPr>
                <w:bCs/>
                <w:iCs/>
                <w:color w:val="000000"/>
                <w:sz w:val="24"/>
              </w:rPr>
            </w:pPr>
            <w:r>
              <w:rPr>
                <w:rFonts w:hint="eastAsia"/>
                <w:bCs/>
                <w:iCs/>
                <w:color w:val="000000"/>
                <w:sz w:val="24"/>
                <w:lang w:val="en-US" w:eastAsia="zh-CN"/>
              </w:rPr>
              <w:t>2025年6月12日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地点</w:t>
            </w:r>
          </w:p>
        </w:tc>
        <w:tc>
          <w:tcPr>
            <w:tcW w:w="7935"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default" w:eastAsia="宋体"/>
                <w:bCs/>
                <w:iCs/>
                <w:color w:val="000000"/>
                <w:sz w:val="24"/>
                <w:lang w:val="en-US" w:eastAsia="zh-CN"/>
              </w:rPr>
            </w:pPr>
            <w:r>
              <w:rPr>
                <w:rFonts w:hint="eastAsia"/>
                <w:bCs/>
                <w:iCs/>
                <w:color w:val="000000"/>
                <w:sz w:val="24"/>
                <w:lang w:val="en-US" w:eastAsia="zh-CN"/>
              </w:rPr>
              <w:t>现场、线上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上市公司接待人员姓名</w:t>
            </w:r>
          </w:p>
        </w:tc>
        <w:tc>
          <w:tcPr>
            <w:tcW w:w="79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bCs/>
                <w:sz w:val="24"/>
              </w:rPr>
            </w:pPr>
            <w:r>
              <w:rPr>
                <w:rFonts w:hint="default" w:ascii="宋体" w:hAnsi="宋体"/>
                <w:bCs/>
                <w:sz w:val="24"/>
              </w:rPr>
              <w:t>董事会秘书鲍伯颖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投资者关系活动主要内容介绍</w:t>
            </w:r>
          </w:p>
          <w:p>
            <w:pPr>
              <w:spacing w:line="420" w:lineRule="exact"/>
              <w:rPr>
                <w:bCs/>
                <w:iCs/>
                <w:color w:val="000000"/>
                <w:sz w:val="24"/>
              </w:rPr>
            </w:pPr>
          </w:p>
        </w:tc>
        <w:tc>
          <w:tcPr>
            <w:tcW w:w="7935" w:type="dxa"/>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46" w:firstLineChars="200"/>
              <w:textAlignment w:val="auto"/>
              <w:rPr>
                <w:rFonts w:hint="eastAsia" w:ascii="宋体" w:hAnsi="宋体" w:eastAsia="宋体"/>
                <w:b/>
                <w:sz w:val="24"/>
                <w:szCs w:val="24"/>
                <w:lang w:eastAsia="zh-CN"/>
              </w:rPr>
            </w:pPr>
            <w:r>
              <w:rPr>
                <w:rFonts w:hint="eastAsia" w:ascii="宋体" w:hAnsi="宋体"/>
                <w:b/>
                <w:sz w:val="24"/>
                <w:szCs w:val="24"/>
                <w:lang w:val="en-US" w:eastAsia="zh-CN"/>
              </w:rPr>
              <w:t>1</w:t>
            </w:r>
            <w:r>
              <w:rPr>
                <w:rFonts w:hint="default" w:ascii="宋体" w:hAnsi="宋体"/>
                <w:b/>
                <w:sz w:val="24"/>
                <w:szCs w:val="24"/>
              </w:rPr>
              <w:t>、公司货币资金13个亿，短期借款和一年到期流动负债一共50个亿，请问公司现金流会出问题吗</w:t>
            </w:r>
            <w:r>
              <w:rPr>
                <w:rFonts w:hint="eastAsia" w:ascii="宋体" w:hAnsi="宋体"/>
                <w:b/>
                <w:sz w:val="24"/>
                <w:szCs w:val="24"/>
                <w:lang w:eastAsia="zh-CN"/>
              </w:rPr>
              <w:t>？</w:t>
            </w:r>
          </w:p>
          <w:p>
            <w:pPr>
              <w:pStyle w:val="7"/>
              <w:spacing w:line="460" w:lineRule="exact"/>
              <w:ind w:left="-1" w:leftChars="-1" w:firstLine="480"/>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感谢您对公司的关注！公司始终基于生产经营实际需求，科学统筹资金规划与调配。目前公司生产经营保持稳健态势，现金流状况良好，各项业务有序推进。</w:t>
            </w:r>
          </w:p>
          <w:p>
            <w:pPr>
              <w:pStyle w:val="7"/>
              <w:numPr>
                <w:ilvl w:val="0"/>
                <w:numId w:val="0"/>
              </w:numPr>
              <w:spacing w:line="460" w:lineRule="exact"/>
              <w:ind w:left="413" w:leftChars="0"/>
              <w:rPr>
                <w:rFonts w:ascii="宋体" w:hAnsi="宋体"/>
                <w:b/>
                <w:sz w:val="24"/>
                <w:szCs w:val="24"/>
              </w:rPr>
            </w:pPr>
            <w:r>
              <w:rPr>
                <w:rFonts w:hint="eastAsia" w:ascii="宋体" w:hAnsi="宋体"/>
                <w:b/>
                <w:sz w:val="24"/>
                <w:szCs w:val="24"/>
                <w:lang w:val="en-US" w:eastAsia="zh-CN"/>
              </w:rPr>
              <w:t>2</w:t>
            </w:r>
            <w:r>
              <w:rPr>
                <w:rFonts w:hint="default" w:ascii="宋体" w:hAnsi="宋体"/>
                <w:b/>
                <w:sz w:val="24"/>
                <w:szCs w:val="24"/>
              </w:rPr>
              <w:t>、根据公司年报披露，公司2024年度贸易业务整体缩减是为什么？</w:t>
            </w:r>
          </w:p>
          <w:p>
            <w:pPr>
              <w:pStyle w:val="7"/>
              <w:spacing w:line="460" w:lineRule="exact"/>
              <w:ind w:left="-1" w:leftChars="-1" w:firstLine="480"/>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感谢您对公司的关注！2024年公司更加聚焦主营业务，主动压缩贸易业务规模，努力提升贸易业务质量，贸易收入同比下降约50%，贸易毛利率同比增长0.6个百分点。未来，公司将</w:t>
            </w:r>
            <w:r>
              <w:rPr>
                <w:rFonts w:hint="eastAsia" w:ascii="宋体" w:hAnsi="宋体"/>
                <w:sz w:val="24"/>
                <w:szCs w:val="24"/>
                <w:lang w:val="en-US" w:eastAsia="zh-CN"/>
              </w:rPr>
              <w:t>继续</w:t>
            </w:r>
            <w:r>
              <w:rPr>
                <w:rFonts w:hint="default" w:ascii="宋体" w:hAnsi="宋体"/>
                <w:sz w:val="24"/>
                <w:szCs w:val="24"/>
              </w:rPr>
              <w:t>聚焦主业，持续优化贸易业务结构，进一步提升贸易业务质量。</w:t>
            </w:r>
          </w:p>
          <w:p>
            <w:pPr>
              <w:pStyle w:val="7"/>
              <w:numPr>
                <w:ilvl w:val="0"/>
                <w:numId w:val="0"/>
              </w:numPr>
              <w:spacing w:line="460" w:lineRule="exact"/>
              <w:ind w:left="413" w:leftChars="0"/>
              <w:rPr>
                <w:rFonts w:hint="eastAsia" w:ascii="宋体" w:hAnsi="宋体" w:eastAsia="宋体"/>
                <w:b/>
                <w:sz w:val="24"/>
                <w:szCs w:val="24"/>
                <w:lang w:eastAsia="zh-CN"/>
              </w:rPr>
            </w:pPr>
            <w:r>
              <w:rPr>
                <w:rFonts w:hint="eastAsia" w:ascii="宋体" w:hAnsi="宋体"/>
                <w:b/>
                <w:sz w:val="24"/>
                <w:szCs w:val="24"/>
                <w:lang w:val="en-US" w:eastAsia="zh-CN"/>
              </w:rPr>
              <w:t>3</w:t>
            </w:r>
            <w:r>
              <w:rPr>
                <w:rFonts w:hint="default" w:ascii="宋体" w:hAnsi="宋体"/>
                <w:b/>
                <w:sz w:val="24"/>
                <w:szCs w:val="24"/>
              </w:rPr>
              <w:t>、贵公司现在股东人数是多少</w:t>
            </w:r>
            <w:r>
              <w:rPr>
                <w:rFonts w:hint="eastAsia" w:ascii="宋体" w:hAnsi="宋体"/>
                <w:b/>
                <w:sz w:val="24"/>
                <w:szCs w:val="24"/>
                <w:lang w:eastAsia="zh-CN"/>
              </w:rPr>
              <w:t>？</w:t>
            </w:r>
          </w:p>
          <w:p>
            <w:pPr>
              <w:pStyle w:val="7"/>
              <w:spacing w:line="460" w:lineRule="exact"/>
              <w:ind w:left="-1" w:leftChars="-1" w:firstLine="480"/>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感谢您对公司的关注！截至</w:t>
            </w:r>
            <w:r>
              <w:rPr>
                <w:rFonts w:hint="eastAsia" w:ascii="宋体" w:hAnsi="宋体"/>
                <w:sz w:val="24"/>
                <w:szCs w:val="24"/>
                <w:lang w:val="en-US" w:eastAsia="zh-CN"/>
              </w:rPr>
              <w:t>2025年</w:t>
            </w:r>
            <w:r>
              <w:rPr>
                <w:rFonts w:hint="default" w:ascii="宋体" w:hAnsi="宋体"/>
                <w:sz w:val="24"/>
                <w:szCs w:val="24"/>
              </w:rPr>
              <w:t>6月10日，公司股东人数为69,070户。</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46" w:firstLineChars="200"/>
              <w:textAlignment w:val="auto"/>
              <w:rPr>
                <w:rFonts w:ascii="宋体" w:hAnsi="宋体"/>
                <w:b/>
                <w:sz w:val="24"/>
                <w:szCs w:val="24"/>
              </w:rPr>
            </w:pPr>
            <w:r>
              <w:rPr>
                <w:rFonts w:hint="eastAsia" w:ascii="宋体" w:hAnsi="宋体"/>
                <w:b/>
                <w:sz w:val="24"/>
                <w:szCs w:val="24"/>
                <w:lang w:val="en-US" w:eastAsia="zh-CN"/>
              </w:rPr>
              <w:t>4</w:t>
            </w:r>
            <w:r>
              <w:rPr>
                <w:rFonts w:hint="default" w:ascii="宋体" w:hAnsi="宋体"/>
                <w:b/>
                <w:sz w:val="24"/>
                <w:szCs w:val="24"/>
              </w:rPr>
              <w:t>、磷矿石供给缺口扩大，公司2025年新获采矿权能否支撑自给率超90%？外销矿石吨均价是否站稳1</w:t>
            </w:r>
            <w:r>
              <w:rPr>
                <w:rFonts w:hint="eastAsia" w:ascii="宋体" w:hAnsi="宋体"/>
                <w:b/>
                <w:sz w:val="24"/>
                <w:szCs w:val="24"/>
                <w:lang w:val="en-US" w:eastAsia="zh-CN"/>
              </w:rPr>
              <w:t>,</w:t>
            </w:r>
            <w:r>
              <w:rPr>
                <w:rFonts w:hint="default" w:ascii="宋体" w:hAnsi="宋体"/>
                <w:b/>
                <w:sz w:val="24"/>
                <w:szCs w:val="24"/>
              </w:rPr>
              <w:t>000元大关？</w:t>
            </w:r>
          </w:p>
          <w:p>
            <w:pPr>
              <w:pStyle w:val="7"/>
              <w:spacing w:line="460" w:lineRule="exact"/>
              <w:ind w:left="-1" w:leftChars="-1" w:firstLine="480"/>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感谢您对公司的关注！公司自用磷矿数量会综合考虑磷矿品质、市场行情、下游产品需求等因素动态确定。磷矿石外销价格受磷含量等因素影响也存在差异，当前销售均价尚未到达1</w:t>
            </w:r>
            <w:r>
              <w:rPr>
                <w:rFonts w:hint="eastAsia" w:ascii="宋体" w:hAnsi="宋体"/>
                <w:sz w:val="24"/>
                <w:szCs w:val="24"/>
                <w:lang w:val="en-US" w:eastAsia="zh-CN"/>
              </w:rPr>
              <w:t>,</w:t>
            </w:r>
            <w:r>
              <w:rPr>
                <w:rFonts w:hint="default" w:ascii="宋体" w:hAnsi="宋体"/>
                <w:sz w:val="24"/>
                <w:szCs w:val="24"/>
              </w:rPr>
              <w:t>000元/吨。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5、海外肥料订单排产是否已至2025Q4？出口溢价幅度是否达15%以上？</w:t>
            </w:r>
          </w:p>
          <w:p>
            <w:pPr>
              <w:pStyle w:val="7"/>
              <w:spacing w:line="460" w:lineRule="exact"/>
              <w:ind w:left="-1" w:leftChars="-1" w:firstLine="480"/>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感谢您对公司的关注！目前公司海外肥料订单排产情况良好，海外磷肥销售价格较国内具有明显的优势</w:t>
            </w:r>
            <w:r>
              <w:rPr>
                <w:rFonts w:hint="eastAsia" w:ascii="宋体" w:hAnsi="宋体"/>
                <w:sz w:val="24"/>
                <w:szCs w:val="24"/>
                <w:lang w:eastAsia="zh-CN"/>
              </w:rPr>
              <w:t>；</w:t>
            </w:r>
            <w:r>
              <w:rPr>
                <w:rFonts w:hint="default" w:ascii="宋体" w:hAnsi="宋体"/>
                <w:sz w:val="24"/>
                <w:szCs w:val="24"/>
              </w:rPr>
              <w:t>公司会持续关注市场动态，优化产品结构和定价策略，</w:t>
            </w:r>
            <w:r>
              <w:rPr>
                <w:rFonts w:hint="default" w:ascii="宋体" w:hAnsi="宋体"/>
                <w:sz w:val="24"/>
                <w:szCs w:val="24"/>
                <w:lang w:val="en-US" w:eastAsia="zh-CN"/>
              </w:rPr>
              <w:t>努力提升经营效益</w:t>
            </w:r>
            <w:r>
              <w:rPr>
                <w:rFonts w:hint="default" w:ascii="宋体" w:hAnsi="宋体"/>
                <w:sz w:val="24"/>
                <w:szCs w:val="24"/>
              </w:rPr>
              <w:t>。</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6、公司2025年度投产的项目有哪些？</w:t>
            </w:r>
          </w:p>
          <w:p>
            <w:pPr>
              <w:pStyle w:val="7"/>
              <w:spacing w:line="460" w:lineRule="exact"/>
              <w:ind w:left="-1" w:leftChars="-1" w:firstLine="480"/>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感谢您对公司的关注！年内，公司100万米/年有机硅皮革、15万平方米/年有机硅泡棉、5,000吨/年磷化剂、3,000吨/年乙硫醇、3.5万吨/年有机磷阻燃剂、2万吨/年存储器件用次磷酸钠扩产、5.3万吨/年黄磷技术升级改造等项目</w:t>
            </w:r>
            <w:r>
              <w:rPr>
                <w:rFonts w:hint="eastAsia" w:ascii="宋体" w:hAnsi="宋体"/>
                <w:sz w:val="24"/>
                <w:szCs w:val="24"/>
                <w:lang w:val="en-US" w:eastAsia="zh-CN"/>
              </w:rPr>
              <w:t>将</w:t>
            </w:r>
            <w:r>
              <w:rPr>
                <w:rFonts w:hint="default" w:ascii="宋体" w:hAnsi="宋体"/>
                <w:sz w:val="24"/>
                <w:szCs w:val="24"/>
              </w:rPr>
              <w:t>陆续投产，此外公司控股子公司兴福电子部分微电子新材料项目也将建成投产。上述项目将进一步壮大公司特种化学品业务板块，达产达效后将为公司带来新的利润增长点。</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46" w:firstLineChars="200"/>
              <w:textAlignment w:val="auto"/>
              <w:rPr>
                <w:rFonts w:ascii="宋体" w:hAnsi="宋体"/>
                <w:b/>
                <w:sz w:val="24"/>
                <w:szCs w:val="24"/>
              </w:rPr>
            </w:pPr>
            <w:r>
              <w:rPr>
                <w:rFonts w:hint="default" w:ascii="宋体" w:hAnsi="宋体"/>
                <w:b/>
                <w:sz w:val="24"/>
                <w:szCs w:val="24"/>
              </w:rPr>
              <w:t>7、领导好！请问公司年产1</w:t>
            </w:r>
            <w:r>
              <w:rPr>
                <w:rFonts w:hint="eastAsia" w:ascii="宋体" w:hAnsi="宋体"/>
                <w:b/>
                <w:sz w:val="24"/>
                <w:szCs w:val="24"/>
                <w:lang w:val="en-US" w:eastAsia="zh-CN"/>
              </w:rPr>
              <w:t>0</w:t>
            </w:r>
            <w:r>
              <w:rPr>
                <w:rFonts w:hint="default" w:ascii="宋体" w:hAnsi="宋体"/>
                <w:b/>
                <w:sz w:val="24"/>
                <w:szCs w:val="24"/>
              </w:rPr>
              <w:t>0吨黑项目进展如何？环评批文出来吗。另外，友商9月要进行吨级中试，贵司是否有吨级中试计划？</w:t>
            </w:r>
          </w:p>
          <w:p>
            <w:pPr>
              <w:pStyle w:val="7"/>
              <w:spacing w:line="460" w:lineRule="exact"/>
              <w:ind w:left="-1" w:leftChars="-1" w:firstLine="480"/>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感谢您对公司的关注！公司已获得100吨/年黑磷项目的环评批文，100公斤级黑磷中试项目已投产。</w:t>
            </w:r>
          </w:p>
          <w:p>
            <w:pPr>
              <w:pStyle w:val="7"/>
              <w:numPr>
                <w:ilvl w:val="0"/>
                <w:numId w:val="0"/>
              </w:numPr>
              <w:spacing w:line="460" w:lineRule="exact"/>
              <w:ind w:left="413" w:leftChars="0"/>
              <w:rPr>
                <w:rFonts w:ascii="宋体" w:hAnsi="宋体"/>
                <w:b/>
                <w:sz w:val="24"/>
                <w:szCs w:val="24"/>
              </w:rPr>
            </w:pPr>
            <w:r>
              <w:rPr>
                <w:rFonts w:hint="eastAsia" w:ascii="宋体" w:hAnsi="宋体"/>
                <w:b/>
                <w:sz w:val="24"/>
                <w:szCs w:val="24"/>
                <w:lang w:val="en-US" w:eastAsia="zh-CN"/>
              </w:rPr>
              <w:t>8</w:t>
            </w:r>
            <w:r>
              <w:rPr>
                <w:rFonts w:hint="default" w:ascii="宋体" w:hAnsi="宋体"/>
                <w:b/>
                <w:sz w:val="24"/>
                <w:szCs w:val="24"/>
              </w:rPr>
              <w:t>、公司新能源业务发展的现状如何？</w:t>
            </w:r>
          </w:p>
          <w:p>
            <w:pPr>
              <w:pStyle w:val="7"/>
              <w:spacing w:line="460" w:lineRule="exact"/>
              <w:ind w:left="-1" w:leftChars="-1" w:firstLine="480"/>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感谢您对公司的关注！目前公司依托精细磷化工发展基础，先后建成磷酸铁、磷酸铁锂、磷酸二氢锂等新能源材料项目，其中磷酸铁产品质量得到客户一致认可，自今年3月份开始已实现满产满销，产品质量、成本控制跻身行业第一梯队；磷酸铁锂顺利导入行业前十电芯厂，自6月份开始实现千吨级稳定供货；磷酸二氢锂实现行业头部企业稳定供货。同时公司加快研发提升工作，三代半磷酸铁锂性能有显著提升，达到行业先进水平，提前布局第四代高压实型磷酸铁锂产品、第五代超高压实型磷酸铁锂产品等前瞻研发工作，并已取得积极进展。</w:t>
            </w:r>
          </w:p>
          <w:p>
            <w:pPr>
              <w:pStyle w:val="7"/>
              <w:spacing w:line="460" w:lineRule="exact"/>
              <w:ind w:left="-1" w:leftChars="-1" w:firstLine="480"/>
              <w:rPr>
                <w:rFonts w:hint="default" w:ascii="宋体" w:hAnsi="宋体"/>
                <w:sz w:val="24"/>
                <w:szCs w:val="24"/>
              </w:rPr>
            </w:pPr>
            <w:r>
              <w:rPr>
                <w:rFonts w:hint="default" w:ascii="宋体" w:hAnsi="宋体"/>
                <w:sz w:val="24"/>
                <w:szCs w:val="24"/>
              </w:rPr>
              <w:t>未来，公司将持续做好磷酸铁及磷酸铁锂产品质量提升和客户拓展等相关工作，不断增强产品的市场竞争力，切实将新能源业务培育为公司重要增长极。</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46" w:firstLineChars="200"/>
              <w:textAlignment w:val="auto"/>
              <w:rPr>
                <w:rFonts w:ascii="宋体" w:hAnsi="宋体"/>
                <w:b/>
                <w:sz w:val="24"/>
                <w:szCs w:val="24"/>
              </w:rPr>
            </w:pPr>
            <w:r>
              <w:rPr>
                <w:rFonts w:hint="eastAsia" w:ascii="宋体" w:hAnsi="宋体"/>
                <w:b/>
                <w:sz w:val="24"/>
                <w:szCs w:val="24"/>
                <w:lang w:val="en-US" w:eastAsia="zh-CN"/>
              </w:rPr>
              <w:t>9</w:t>
            </w:r>
            <w:r>
              <w:rPr>
                <w:rFonts w:hint="default" w:ascii="宋体" w:hAnsi="宋体"/>
                <w:b/>
                <w:sz w:val="24"/>
                <w:szCs w:val="24"/>
              </w:rPr>
              <w:t>、公司对磷矿石的市场预期是什么？公司在磷矿石资源布局方面有哪些计划？</w:t>
            </w:r>
          </w:p>
          <w:p>
            <w:pPr>
              <w:pStyle w:val="7"/>
              <w:spacing w:line="460" w:lineRule="exact"/>
              <w:ind w:left="-1" w:leftChars="-1" w:firstLine="480"/>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感谢您对公司的关注！根据国家统计局数据，2024年国内磷矿石总产量约为11,353万吨，较上年同期增长7.56%，新增产量更多是满足新能源材料等新兴领域的需求；从市场情况来看，磷矿石市场流通量偏低，供需关系偏紧。部分企业虽有在建、筹建新产能，但受安全环保监管以及磷资源高效高值利用等政策影响，新增磷矿将更加有序受控，加之中小型磷矿的持续退出和资源集中度提升，公司预计未来几年磷矿石供需关系将继续维持相对稳定的紧平衡状态。</w:t>
            </w:r>
          </w:p>
          <w:p>
            <w:pPr>
              <w:pStyle w:val="7"/>
              <w:spacing w:line="460" w:lineRule="exact"/>
              <w:ind w:left="-1" w:leftChars="-1" w:firstLine="480"/>
              <w:rPr>
                <w:rFonts w:hint="default" w:ascii="宋体" w:hAnsi="宋体"/>
                <w:sz w:val="24"/>
                <w:szCs w:val="24"/>
              </w:rPr>
            </w:pPr>
            <w:r>
              <w:rPr>
                <w:rFonts w:hint="default" w:ascii="宋体" w:hAnsi="宋体"/>
                <w:sz w:val="24"/>
                <w:szCs w:val="24"/>
              </w:rPr>
              <w:t>公司高度重视磷矿资源争取工作，将积极采取措施提升磷矿资源保障水平，夯实公司磷化工上下游一体化产业链发展基础：一是参股子公司湖北宜安联合实业有限责任公司拥有磷矿探明储量3.15亿吨，目前处于采矿工程建设阶段，设计产能为400万吨/年</w:t>
            </w:r>
            <w:r>
              <w:rPr>
                <w:rFonts w:hint="eastAsia" w:ascii="宋体" w:hAnsi="宋体"/>
                <w:sz w:val="24"/>
                <w:szCs w:val="24"/>
                <w:lang w:eastAsia="zh-CN"/>
              </w:rPr>
              <w:t>，</w:t>
            </w:r>
            <w:r>
              <w:rPr>
                <w:rFonts w:hint="default" w:ascii="宋体" w:hAnsi="宋体"/>
                <w:sz w:val="24"/>
                <w:szCs w:val="24"/>
              </w:rPr>
              <w:t>预计年内建成并取得安全生产许可证。二是控股子公司荆州市荆化矿产品贸易有限公司及联营公司保康县尧治河桥沟矿业有限公司合计拥有磷矿探明储量4.77亿吨，目前正在积极推进探转采工作（其中桥沟磷矿力争下半年启动采矿工程建设），力争早日实现产能投放。三是公司与万华化学合资成立的远安兴华矿业有限公司拥有远安县杨柳东矿区磷矿保有推断资源量约1.56亿吨，预计年内完成探矿工作。四是积极推进公司兴山区域磷矿资源整合，进一步提升规模化开采能力和绿色化开采水平。五是积极通过独自争取、联合争取以及并购重组等方式，争取更多优质磷矿资源。</w:t>
            </w:r>
          </w:p>
          <w:p>
            <w:pPr>
              <w:pStyle w:val="7"/>
              <w:numPr>
                <w:ilvl w:val="0"/>
                <w:numId w:val="0"/>
              </w:numPr>
              <w:spacing w:line="460" w:lineRule="exact"/>
              <w:ind w:left="413" w:leftChars="0"/>
              <w:rPr>
                <w:rFonts w:ascii="宋体" w:hAnsi="宋体"/>
                <w:b/>
                <w:sz w:val="24"/>
                <w:szCs w:val="24"/>
              </w:rPr>
            </w:pPr>
            <w:r>
              <w:rPr>
                <w:rFonts w:hint="eastAsia" w:ascii="宋体" w:hAnsi="宋体"/>
                <w:b/>
                <w:sz w:val="24"/>
                <w:szCs w:val="24"/>
                <w:lang w:val="en-US" w:eastAsia="zh-CN"/>
              </w:rPr>
              <w:t>10</w:t>
            </w:r>
            <w:r>
              <w:rPr>
                <w:rFonts w:hint="default" w:ascii="宋体" w:hAnsi="宋体"/>
                <w:b/>
                <w:sz w:val="24"/>
                <w:szCs w:val="24"/>
              </w:rPr>
              <w:t>、账上现金那么多，并购目标是否聚焦锂盐/氟化工补链？</w:t>
            </w:r>
          </w:p>
          <w:p>
            <w:pPr>
              <w:pStyle w:val="7"/>
              <w:spacing w:line="460" w:lineRule="exact"/>
              <w:ind w:left="-1" w:leftChars="-1" w:firstLine="480"/>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感谢您对公司的关注，如有相关进展，公司将及时披露相关信息。</w:t>
            </w:r>
          </w:p>
          <w:p>
            <w:pPr>
              <w:pStyle w:val="7"/>
              <w:numPr>
                <w:ilvl w:val="0"/>
                <w:numId w:val="0"/>
              </w:numPr>
              <w:spacing w:line="460" w:lineRule="exact"/>
              <w:ind w:left="413" w:leftChars="0"/>
              <w:rPr>
                <w:rFonts w:ascii="宋体" w:hAnsi="宋体"/>
                <w:b/>
                <w:sz w:val="24"/>
                <w:szCs w:val="24"/>
              </w:rPr>
            </w:pPr>
            <w:r>
              <w:rPr>
                <w:rFonts w:hint="eastAsia" w:ascii="宋体" w:hAnsi="宋体"/>
                <w:b/>
                <w:sz w:val="24"/>
                <w:szCs w:val="24"/>
                <w:lang w:val="en-US" w:eastAsia="zh-CN"/>
              </w:rPr>
              <w:t>11</w:t>
            </w:r>
            <w:r>
              <w:rPr>
                <w:rFonts w:hint="default" w:ascii="宋体" w:hAnsi="宋体"/>
                <w:b/>
                <w:sz w:val="24"/>
                <w:szCs w:val="24"/>
              </w:rPr>
              <w:t>、请问公司2024年农药产品销量同比大幅增长的主要原因是什么？</w:t>
            </w:r>
          </w:p>
          <w:p>
            <w:pPr>
              <w:pStyle w:val="7"/>
              <w:spacing w:line="460" w:lineRule="exact"/>
              <w:ind w:left="-1" w:leftChars="-1" w:firstLine="480"/>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感谢您对公司的关注！一是公司秉持以客户和市场为中心的发展理念，通过持续的技术创新和优质服务不断扩大市场份额，提升品牌影响力。同时公司生产及营销部门科学高效组织生产销售，确保产品质量安全和供应安全。二是公司积极布局海外生产和销售基地，国际化发展取得积极成效。目前公司已成功布局1</w:t>
            </w:r>
            <w:r>
              <w:rPr>
                <w:rFonts w:hint="eastAsia" w:ascii="宋体" w:hAnsi="宋体"/>
                <w:sz w:val="24"/>
                <w:szCs w:val="24"/>
                <w:lang w:val="en-US" w:eastAsia="zh-CN"/>
              </w:rPr>
              <w:t>1</w:t>
            </w:r>
            <w:r>
              <w:rPr>
                <w:rFonts w:hint="default" w:ascii="宋体" w:hAnsi="宋体"/>
                <w:sz w:val="24"/>
                <w:szCs w:val="24"/>
              </w:rPr>
              <w:t>个海外平台，除原药产品外，公司制剂业务取得突破性增长，持续丰富草甘膦以及百草枯、2,4-D等制剂产品，形成产品组合。三是公司重视与国内外重要合作伙伴的长期战略合作，确保核心业务的稳定和增长。</w:t>
            </w:r>
          </w:p>
          <w:p>
            <w:pPr>
              <w:pStyle w:val="7"/>
              <w:numPr>
                <w:ilvl w:val="0"/>
                <w:numId w:val="0"/>
              </w:numPr>
              <w:spacing w:line="460" w:lineRule="exact"/>
              <w:ind w:left="413" w:leftChars="0"/>
              <w:rPr>
                <w:rFonts w:ascii="宋体" w:hAnsi="宋体"/>
                <w:b/>
                <w:sz w:val="24"/>
                <w:szCs w:val="24"/>
              </w:rPr>
            </w:pPr>
            <w:r>
              <w:rPr>
                <w:rFonts w:hint="eastAsia" w:ascii="宋体" w:hAnsi="宋体"/>
                <w:b/>
                <w:sz w:val="24"/>
                <w:szCs w:val="24"/>
                <w:lang w:val="en-US" w:eastAsia="zh-CN"/>
              </w:rPr>
              <w:t>12</w:t>
            </w:r>
            <w:r>
              <w:rPr>
                <w:rFonts w:hint="default" w:ascii="宋体" w:hAnsi="宋体"/>
                <w:b/>
                <w:sz w:val="24"/>
                <w:szCs w:val="24"/>
              </w:rPr>
              <w:t>、请问二股东增持实施完了没有？</w:t>
            </w:r>
          </w:p>
          <w:p>
            <w:pPr>
              <w:pStyle w:val="7"/>
              <w:spacing w:line="460" w:lineRule="exact"/>
              <w:ind w:left="-1" w:leftChars="-1" w:firstLine="480"/>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感谢您对公司的关注！当前浙江金帆达生化股份有限公司对公司股票的增持计划尚未实施完毕，具体请关注公司后续公告。</w:t>
            </w:r>
          </w:p>
          <w:p>
            <w:pPr>
              <w:pStyle w:val="7"/>
              <w:numPr>
                <w:ilvl w:val="0"/>
                <w:numId w:val="0"/>
              </w:numPr>
              <w:spacing w:line="460" w:lineRule="exact"/>
              <w:ind w:left="413" w:leftChars="0"/>
              <w:rPr>
                <w:rFonts w:ascii="宋体" w:hAnsi="宋体"/>
                <w:b/>
                <w:sz w:val="24"/>
                <w:szCs w:val="24"/>
              </w:rPr>
            </w:pPr>
            <w:r>
              <w:rPr>
                <w:rFonts w:hint="eastAsia" w:ascii="宋体" w:hAnsi="宋体"/>
                <w:b/>
                <w:sz w:val="24"/>
                <w:szCs w:val="24"/>
                <w:lang w:val="en-US" w:eastAsia="zh-CN"/>
              </w:rPr>
              <w:t>13</w:t>
            </w:r>
            <w:r>
              <w:rPr>
                <w:rFonts w:hint="default" w:ascii="宋体" w:hAnsi="宋体"/>
                <w:b/>
                <w:sz w:val="24"/>
                <w:szCs w:val="24"/>
              </w:rPr>
              <w:t>、公司可转债是否还会下修？针对促进可转债转股有什么措施。</w:t>
            </w:r>
          </w:p>
          <w:p>
            <w:pPr>
              <w:pStyle w:val="7"/>
              <w:spacing w:line="460" w:lineRule="exact"/>
              <w:ind w:left="-1" w:leftChars="-1" w:firstLine="480"/>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感谢您对公司的关注！2025年4月14日，公司召开第十一届董事会第八次会议，审议通过了《关于不向下修正“兴发转债”转股价格的议案》，决定自2025年4月15日至2026年4月14日，如再次触发“兴发转债”转股价格向下修正条款，公司均不提出向下修正方案。后续公司将综合考虑企业的基本情况、股价走势、市场环境等多重因素，对是否下修公司“兴发转债”转股价格进行研判，具体可关注公司后续公告。</w:t>
            </w:r>
          </w:p>
          <w:p>
            <w:pPr>
              <w:pStyle w:val="7"/>
              <w:spacing w:line="460" w:lineRule="exact"/>
              <w:ind w:left="-1" w:leftChars="-1" w:firstLine="480"/>
              <w:rPr>
                <w:rFonts w:hint="default" w:ascii="宋体" w:hAnsi="宋体"/>
                <w:sz w:val="24"/>
                <w:szCs w:val="24"/>
              </w:rPr>
            </w:pPr>
            <w:r>
              <w:rPr>
                <w:rFonts w:hint="default" w:ascii="宋体" w:hAnsi="宋体"/>
                <w:sz w:val="24"/>
                <w:szCs w:val="24"/>
              </w:rPr>
              <w:t>针对转股问题，公司后续将持续强化经营业绩的提质增效，同步深化与投资者的多维互动沟通，持续推进公司价值的挖掘与释放，统筹做好公司的市值管理工作。</w:t>
            </w:r>
          </w:p>
          <w:p>
            <w:pPr>
              <w:pStyle w:val="7"/>
              <w:numPr>
                <w:ilvl w:val="0"/>
                <w:numId w:val="0"/>
              </w:numPr>
              <w:spacing w:line="460" w:lineRule="exact"/>
              <w:ind w:left="413" w:leftChars="0"/>
              <w:rPr>
                <w:rFonts w:ascii="宋体" w:hAnsi="宋体"/>
                <w:b/>
                <w:sz w:val="24"/>
                <w:szCs w:val="24"/>
              </w:rPr>
            </w:pPr>
            <w:r>
              <w:rPr>
                <w:rFonts w:hint="eastAsia" w:ascii="宋体" w:hAnsi="宋体"/>
                <w:b/>
                <w:sz w:val="24"/>
                <w:szCs w:val="24"/>
                <w:lang w:val="en-US" w:eastAsia="zh-CN"/>
              </w:rPr>
              <w:t>14</w:t>
            </w:r>
            <w:r>
              <w:rPr>
                <w:rFonts w:hint="default" w:ascii="宋体" w:hAnsi="宋体"/>
                <w:b/>
                <w:sz w:val="24"/>
                <w:szCs w:val="24"/>
              </w:rPr>
              <w:t>、请问公司草甘膦产品现在什么价格？对未来的价格趋势怎么看？</w:t>
            </w:r>
          </w:p>
          <w:p>
            <w:pPr>
              <w:pStyle w:val="7"/>
              <w:spacing w:line="460" w:lineRule="exact"/>
              <w:ind w:left="-1" w:leftChars="-1" w:firstLine="480"/>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感谢您对公司的关注！截至6月上旬，草甘膦原药市场价格已超2.4万元/吨，较5月初上涨近4%。当前市场草甘膦库存处于低位，公司订单充足，供货紧张；加之草甘膦长期在周期底部运行，行业饱受亏损之苦，市场有价格修复需求，预计短期草甘膦价格稳中有升。</w:t>
            </w:r>
          </w:p>
          <w:p>
            <w:pPr>
              <w:pStyle w:val="7"/>
              <w:numPr>
                <w:ilvl w:val="0"/>
                <w:numId w:val="0"/>
              </w:numPr>
              <w:spacing w:line="460" w:lineRule="exact"/>
              <w:ind w:left="413" w:leftChars="0"/>
              <w:rPr>
                <w:rFonts w:ascii="宋体" w:hAnsi="宋体"/>
                <w:b/>
                <w:sz w:val="24"/>
                <w:szCs w:val="24"/>
              </w:rPr>
            </w:pPr>
            <w:r>
              <w:rPr>
                <w:rFonts w:hint="eastAsia" w:ascii="宋体" w:hAnsi="宋体"/>
                <w:b/>
                <w:sz w:val="24"/>
                <w:szCs w:val="24"/>
                <w:lang w:val="en-US" w:eastAsia="zh-CN"/>
              </w:rPr>
              <w:t>15</w:t>
            </w:r>
            <w:r>
              <w:rPr>
                <w:rFonts w:hint="default" w:ascii="宋体" w:hAnsi="宋体"/>
                <w:b/>
                <w:sz w:val="24"/>
                <w:szCs w:val="24"/>
              </w:rPr>
              <w:t>、公司黑磷百吨产能投产了吗？商业化有眉目了吗</w:t>
            </w:r>
          </w:p>
          <w:p>
            <w:pPr>
              <w:pStyle w:val="7"/>
              <w:spacing w:line="460" w:lineRule="exact"/>
              <w:ind w:left="-1" w:leftChars="-1" w:firstLine="480"/>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感谢您对公司的关注！该项目当前处于设备优化设计阶段。</w:t>
            </w:r>
          </w:p>
          <w:p>
            <w:pPr>
              <w:pStyle w:val="7"/>
              <w:numPr>
                <w:ilvl w:val="0"/>
                <w:numId w:val="0"/>
              </w:numPr>
              <w:spacing w:line="460" w:lineRule="exact"/>
              <w:ind w:left="413" w:leftChars="0"/>
              <w:rPr>
                <w:rFonts w:ascii="宋体" w:hAnsi="宋体"/>
                <w:b/>
                <w:sz w:val="24"/>
                <w:szCs w:val="24"/>
              </w:rPr>
            </w:pPr>
            <w:r>
              <w:rPr>
                <w:rFonts w:hint="eastAsia" w:ascii="宋体" w:hAnsi="宋体"/>
                <w:b/>
                <w:sz w:val="24"/>
                <w:szCs w:val="24"/>
                <w:lang w:val="en-US" w:eastAsia="zh-CN"/>
              </w:rPr>
              <w:t>16</w:t>
            </w:r>
            <w:r>
              <w:rPr>
                <w:rFonts w:hint="default" w:ascii="宋体" w:hAnsi="宋体"/>
                <w:b/>
                <w:sz w:val="24"/>
                <w:szCs w:val="24"/>
              </w:rPr>
              <w:t>、公司在硫化锂方面有无布局</w:t>
            </w:r>
          </w:p>
          <w:p>
            <w:pPr>
              <w:pStyle w:val="7"/>
              <w:spacing w:line="460" w:lineRule="exact"/>
              <w:ind w:left="-1" w:leftChars="-1" w:firstLine="480"/>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感谢您对公司的关注，目前公司暂无此产品。</w:t>
            </w:r>
          </w:p>
          <w:p>
            <w:pPr>
              <w:pStyle w:val="7"/>
              <w:numPr>
                <w:ilvl w:val="0"/>
                <w:numId w:val="0"/>
              </w:numPr>
              <w:spacing w:line="460" w:lineRule="exact"/>
              <w:ind w:left="413" w:leftChars="0"/>
              <w:rPr>
                <w:rFonts w:ascii="宋体" w:hAnsi="宋体"/>
                <w:b/>
                <w:sz w:val="24"/>
                <w:szCs w:val="24"/>
              </w:rPr>
            </w:pPr>
            <w:r>
              <w:rPr>
                <w:rFonts w:hint="eastAsia" w:ascii="宋体" w:hAnsi="宋体"/>
                <w:b/>
                <w:sz w:val="24"/>
                <w:szCs w:val="24"/>
                <w:lang w:val="en-US" w:eastAsia="zh-CN"/>
              </w:rPr>
              <w:t>17</w:t>
            </w:r>
            <w:r>
              <w:rPr>
                <w:rFonts w:hint="default" w:ascii="宋体" w:hAnsi="宋体"/>
                <w:b/>
                <w:sz w:val="24"/>
                <w:szCs w:val="24"/>
              </w:rPr>
              <w:t>、大洋彼岸孟山都据传要破产，对草甘膦行业有</w:t>
            </w:r>
            <w:r>
              <w:rPr>
                <w:rFonts w:hint="eastAsia" w:ascii="宋体" w:hAnsi="宋体"/>
                <w:b/>
                <w:sz w:val="24"/>
                <w:szCs w:val="24"/>
                <w:lang w:val="en-US" w:eastAsia="zh-CN"/>
              </w:rPr>
              <w:t>何</w:t>
            </w:r>
            <w:r>
              <w:rPr>
                <w:rFonts w:hint="default" w:ascii="宋体" w:hAnsi="宋体"/>
                <w:b/>
                <w:sz w:val="24"/>
                <w:szCs w:val="24"/>
              </w:rPr>
              <w:t>影响？</w:t>
            </w:r>
          </w:p>
          <w:p>
            <w:pPr>
              <w:pStyle w:val="7"/>
              <w:spacing w:line="460" w:lineRule="exact"/>
              <w:ind w:left="-1" w:leftChars="-1" w:firstLine="480"/>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感谢您对公司的关注！目前全球草甘膦总产能约118万吨/年，其中拜耳（孟山都）为全球第一大供应商，其余产能均在中国，产能排名前五的公司草甘膦产能已占到行业总产能的近80%，行业集中度较高。当前拜耳公司草甘膦诉讼事件存在较大不确定性</w:t>
            </w:r>
            <w:r>
              <w:rPr>
                <w:rFonts w:hint="eastAsia" w:ascii="宋体" w:hAnsi="宋体"/>
                <w:sz w:val="24"/>
                <w:szCs w:val="24"/>
                <w:lang w:eastAsia="zh-CN"/>
              </w:rPr>
              <w:t>，</w:t>
            </w:r>
            <w:r>
              <w:rPr>
                <w:rFonts w:hint="default" w:ascii="宋体" w:hAnsi="宋体"/>
                <w:sz w:val="24"/>
                <w:szCs w:val="24"/>
              </w:rPr>
              <w:t>若因拜耳实施破产方案导致孟山都停产，将直接导致全球草甘膦市场供需格局的重大调整，但该事件如何演绎有待进一步的持续跟踪。</w:t>
            </w:r>
          </w:p>
          <w:p>
            <w:pPr>
              <w:pStyle w:val="7"/>
              <w:numPr>
                <w:ilvl w:val="0"/>
                <w:numId w:val="0"/>
              </w:numPr>
              <w:spacing w:line="460" w:lineRule="exact"/>
              <w:ind w:left="413" w:leftChars="0"/>
              <w:rPr>
                <w:rFonts w:ascii="宋体" w:hAnsi="宋体"/>
                <w:b/>
                <w:sz w:val="24"/>
                <w:szCs w:val="24"/>
              </w:rPr>
            </w:pPr>
            <w:r>
              <w:rPr>
                <w:rFonts w:hint="eastAsia" w:ascii="宋体" w:hAnsi="宋体"/>
                <w:b/>
                <w:sz w:val="24"/>
                <w:szCs w:val="24"/>
                <w:lang w:val="en-US" w:eastAsia="zh-CN"/>
              </w:rPr>
              <w:t>18</w:t>
            </w:r>
            <w:r>
              <w:rPr>
                <w:rFonts w:hint="default" w:ascii="宋体" w:hAnsi="宋体"/>
                <w:b/>
                <w:sz w:val="24"/>
                <w:szCs w:val="24"/>
              </w:rPr>
              <w:t>、多少号分红？</w:t>
            </w:r>
          </w:p>
          <w:p>
            <w:pPr>
              <w:pStyle w:val="7"/>
              <w:spacing w:line="460" w:lineRule="exact"/>
              <w:ind w:left="-1" w:leftChars="-1" w:firstLine="480"/>
              <w:rPr>
                <w:rFonts w:ascii="宋体" w:hAnsi="宋体"/>
                <w:bCs/>
                <w:iCs/>
                <w:color w:val="000000"/>
                <w:sz w:val="24"/>
              </w:rPr>
            </w:pPr>
            <w:r>
              <w:rPr>
                <w:rFonts w:hint="eastAsia" w:ascii="宋体" w:hAnsi="宋体"/>
                <w:sz w:val="24"/>
                <w:szCs w:val="24"/>
                <w:lang w:val="en-US" w:eastAsia="zh-CN"/>
              </w:rPr>
              <w:t>答：</w:t>
            </w:r>
            <w:r>
              <w:rPr>
                <w:rFonts w:hint="default" w:ascii="宋体" w:hAnsi="宋体"/>
                <w:sz w:val="24"/>
                <w:szCs w:val="24"/>
              </w:rPr>
              <w:t>感谢您对公司的关注!公司2024年度红利发放日为2025年6月20日，股权登记日为6月19日。具体请关注公司于上海证券交易所网站（www.sse.com.cn）披露的《2024年年度权益分派实施公告》（公告编号：临2025-035）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附件清单（如有）</w:t>
            </w:r>
          </w:p>
        </w:tc>
        <w:tc>
          <w:tcPr>
            <w:tcW w:w="79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both"/>
              <w:rPr>
                <w:rFonts w:hint="default" w:eastAsia="宋体"/>
                <w:bCs/>
                <w:iCs/>
                <w:color w:val="000000"/>
                <w:sz w:val="24"/>
                <w:lang w:val="en-US" w:eastAsia="zh-CN"/>
              </w:rPr>
            </w:pPr>
            <w:r>
              <w:rPr>
                <w:rFonts w:hint="eastAsia"/>
                <w:bCs/>
                <w:iCs/>
                <w:color w:val="000000"/>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日期</w:t>
            </w:r>
          </w:p>
        </w:tc>
        <w:tc>
          <w:tcPr>
            <w:tcW w:w="7935"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default" w:eastAsia="宋体"/>
                <w:bCs/>
                <w:iCs/>
                <w:color w:val="000000"/>
                <w:sz w:val="24"/>
                <w:lang w:val="en-US" w:eastAsia="zh-CN"/>
              </w:rPr>
            </w:pPr>
            <w:r>
              <w:rPr>
                <w:rFonts w:hint="eastAsia" w:asciiTheme="minorEastAsia" w:hAnsiTheme="minorEastAsia" w:eastAsiaTheme="minorEastAsia" w:cstheme="minorEastAsia"/>
                <w:bCs/>
                <w:iCs/>
                <w:color w:val="000000"/>
                <w:sz w:val="24"/>
              </w:rPr>
              <w:t>2025</w:t>
            </w:r>
            <w:r>
              <w:rPr>
                <w:rFonts w:hint="eastAsia" w:asciiTheme="minorEastAsia" w:hAnsiTheme="minorEastAsia" w:eastAsiaTheme="minorEastAsia" w:cstheme="minorEastAsia"/>
                <w:bCs/>
                <w:iCs/>
                <w:color w:val="000000"/>
                <w:sz w:val="24"/>
                <w:lang w:val="en-US" w:eastAsia="zh-CN"/>
              </w:rPr>
              <w:t>年6月14日</w:t>
            </w:r>
          </w:p>
        </w:tc>
      </w:tr>
    </w:tbl>
    <w:p/>
    <w:sectPr>
      <w:headerReference r:id="rId3" w:type="default"/>
      <w:footerReference r:id="rId4" w:type="default"/>
      <w:pgSz w:w="11906" w:h="16838"/>
      <w:pgMar w:top="2098" w:right="1474" w:bottom="1984" w:left="1587" w:header="851" w:footer="1417" w:gutter="0"/>
      <w:cols w:space="0" w:num="1"/>
      <w:rtlGutter w:val="0"/>
      <w:docGrid w:type="linesAndChars" w:linePitch="289" w:charSpace="-36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96"/>
  <w:drawingGridVerticalSpacing w:val="14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048C4D13"/>
    <w:rsid w:val="06392A5C"/>
    <w:rsid w:val="08736595"/>
    <w:rsid w:val="1170063A"/>
    <w:rsid w:val="171425CE"/>
    <w:rsid w:val="1B2418A5"/>
    <w:rsid w:val="1CFC5477"/>
    <w:rsid w:val="1E62755C"/>
    <w:rsid w:val="1FBFC074"/>
    <w:rsid w:val="21C978F2"/>
    <w:rsid w:val="276C31F9"/>
    <w:rsid w:val="35D408E8"/>
    <w:rsid w:val="36FB9E1F"/>
    <w:rsid w:val="390239BE"/>
    <w:rsid w:val="3B44206B"/>
    <w:rsid w:val="3BFA3B96"/>
    <w:rsid w:val="3CEF3472"/>
    <w:rsid w:val="3EFF16E9"/>
    <w:rsid w:val="49837298"/>
    <w:rsid w:val="49F34163"/>
    <w:rsid w:val="4BC1730B"/>
    <w:rsid w:val="55F52488"/>
    <w:rsid w:val="5991071A"/>
    <w:rsid w:val="60F17CF0"/>
    <w:rsid w:val="70F65EFA"/>
    <w:rsid w:val="7204624A"/>
    <w:rsid w:val="73734C00"/>
    <w:rsid w:val="76896ED7"/>
    <w:rsid w:val="77CF73AC"/>
    <w:rsid w:val="78FF0116"/>
    <w:rsid w:val="B7DDD54D"/>
    <w:rsid w:val="E3FFE6ED"/>
    <w:rsid w:val="F5DB8A63"/>
    <w:rsid w:val="F797912E"/>
    <w:rsid w:val="FE7B4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_Style 6"/>
    <w:basedOn w:val="1"/>
    <w:qFormat/>
    <w:uiPriority w:val="34"/>
    <w:pPr>
      <w:ind w:firstLine="420" w:firstLineChars="200"/>
    </w:pPr>
    <w:rPr>
      <w:rFonts w:ascii="Calibri" w:hAnsi="Calibri" w:eastAsia="宋体" w:cs="Times New Roman"/>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 Char Char Char"/>
    <w:basedOn w:val="1"/>
    <w:qFormat/>
    <w:uiPriority w:val="0"/>
  </w:style>
  <w:style w:type="character" w:customStyle="1" w:styleId="11">
    <w:name w:val="页脚 Char"/>
    <w:basedOn w:val="6"/>
    <w:link w:val="2"/>
    <w:qFormat/>
    <w:uiPriority w:val="0"/>
    <w:rPr>
      <w:kern w:val="2"/>
      <w:sz w:val="18"/>
      <w:szCs w:val="18"/>
    </w:rPr>
  </w:style>
  <w:style w:type="character" w:customStyle="1" w:styleId="12">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3426</Words>
  <Characters>3631</Characters>
  <Lines>60</Lines>
  <Paragraphs>17</Paragraphs>
  <TotalTime>6</TotalTime>
  <ScaleCrop>false</ScaleCrop>
  <LinksUpToDate>false</LinksUpToDate>
  <CharactersWithSpaces>3759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2012-09-09T08:59:00Z</dcterms:created>
  <dc:creator>微软用户</dc:creator>
  <cp:lastModifiedBy>郑金京</cp:lastModifiedBy>
  <cp:lastPrinted>2014-02-21T05:34:00Z</cp:lastPrinted>
  <dcterms:modified xsi:type="dcterms:W3CDTF">2025-06-13T07:47:05Z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FB22AF6A4C044A6CA1FCC143338028D4</vt:lpwstr>
  </property>
  <property fmtid="{D5CDD505-2E9C-101B-9397-08002B2CF9AE}" pid="4" name="KSOTemplateDocerSaveRecord">
    <vt:lpwstr>eyJoZGlkIjoiYzdhMDFlNjNmZGZlMGE2MTc3MmNkYjVlYmJkMDE4ZTIiLCJ1c2VySWQiOiI0NjQ1NzEyNjEifQ==</vt:lpwstr>
  </property>
</Properties>
</file>