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33B7">
      <w:pPr>
        <w:spacing w:before="31" w:beforeLines="10" w:line="360" w:lineRule="auto"/>
        <w:rPr>
          <w:rFonts w:ascii="楷体" w:hAnsi="楷体" w:eastAsia="楷体"/>
          <w:b/>
          <w:w w:val="95"/>
          <w:sz w:val="24"/>
        </w:rPr>
      </w:pPr>
      <w:r>
        <w:rPr>
          <w:rFonts w:hint="eastAsia" w:ascii="楷体" w:hAnsi="楷体" w:eastAsia="楷体" w:cs="宋体"/>
          <w:b/>
          <w:w w:val="95"/>
          <w:sz w:val="24"/>
        </w:rPr>
        <w:t xml:space="preserve">证券简称：华盛锂电 </w:t>
      </w:r>
      <w:r>
        <w:rPr>
          <w:rFonts w:ascii="楷体" w:hAnsi="楷体" w:eastAsia="楷体" w:cs="宋体"/>
          <w:b/>
          <w:w w:val="95"/>
          <w:sz w:val="24"/>
        </w:rPr>
        <w:t xml:space="preserve">                                         </w:t>
      </w:r>
      <w:r>
        <w:rPr>
          <w:rFonts w:hint="eastAsia" w:ascii="楷体" w:hAnsi="楷体" w:eastAsia="楷体" w:cs="宋体"/>
          <w:b/>
          <w:w w:val="95"/>
          <w:sz w:val="24"/>
        </w:rPr>
        <w:t>证券代码</w:t>
      </w:r>
      <w:r>
        <w:rPr>
          <w:rFonts w:ascii="楷体" w:hAnsi="楷体" w:eastAsia="楷体"/>
          <w:b/>
          <w:w w:val="95"/>
          <w:sz w:val="24"/>
        </w:rPr>
        <w:t>：</w:t>
      </w:r>
      <w:r>
        <w:rPr>
          <w:rFonts w:ascii="Times New Roman" w:hAnsi="Times New Roman" w:eastAsia="楷体"/>
          <w:b/>
          <w:w w:val="95"/>
          <w:sz w:val="24"/>
        </w:rPr>
        <w:t>688353</w:t>
      </w:r>
    </w:p>
    <w:p w14:paraId="6E074D14">
      <w:pPr>
        <w:spacing w:before="31" w:beforeLines="10" w:line="360" w:lineRule="auto"/>
        <w:jc w:val="center"/>
        <w:rPr>
          <w:rFonts w:ascii="宋体" w:hAnsi="宋体" w:cs="宋体"/>
          <w:b/>
          <w:w w:val="95"/>
          <w:sz w:val="32"/>
          <w:szCs w:val="32"/>
        </w:rPr>
      </w:pPr>
    </w:p>
    <w:p w14:paraId="2716AD88">
      <w:pPr>
        <w:spacing w:before="31" w:beforeLines="10" w:line="360" w:lineRule="auto"/>
        <w:jc w:val="center"/>
        <w:rPr>
          <w:rFonts w:ascii="楷体" w:hAnsi="楷体" w:eastAsia="楷体" w:cs="宋体"/>
          <w:b/>
          <w:w w:val="95"/>
          <w:sz w:val="36"/>
          <w:szCs w:val="36"/>
        </w:rPr>
      </w:pPr>
      <w:r>
        <w:rPr>
          <w:rFonts w:hint="eastAsia" w:ascii="楷体" w:hAnsi="楷体" w:eastAsia="楷体" w:cs="宋体"/>
          <w:b/>
          <w:w w:val="95"/>
          <w:sz w:val="36"/>
          <w:szCs w:val="36"/>
        </w:rPr>
        <w:t>江苏华盛锂电材料股份有限公司</w:t>
      </w:r>
    </w:p>
    <w:p w14:paraId="12B2EA83">
      <w:pPr>
        <w:spacing w:line="360" w:lineRule="auto"/>
        <w:jc w:val="center"/>
        <w:rPr>
          <w:rFonts w:ascii="楷体" w:hAnsi="楷体" w:eastAsia="楷体" w:cs="宋体"/>
          <w:b/>
          <w:w w:val="95"/>
          <w:kern w:val="0"/>
          <w:sz w:val="36"/>
          <w:szCs w:val="36"/>
        </w:rPr>
      </w:pPr>
      <w:r>
        <w:rPr>
          <w:rFonts w:hint="eastAsia" w:ascii="楷体" w:hAnsi="楷体" w:eastAsia="楷体" w:cs="宋体"/>
          <w:b/>
          <w:w w:val="95"/>
          <w:kern w:val="0"/>
          <w:sz w:val="36"/>
          <w:szCs w:val="36"/>
        </w:rPr>
        <w:t>投资者关系活动记录表</w:t>
      </w:r>
    </w:p>
    <w:p w14:paraId="6EDC1934">
      <w:pPr>
        <w:tabs>
          <w:tab w:val="left" w:pos="6106"/>
        </w:tabs>
        <w:spacing w:before="156" w:beforeLines="50" w:after="156" w:afterLines="50"/>
        <w:ind w:firstLine="240" w:firstLineChars="100"/>
        <w:jc w:val="right"/>
        <w:rPr>
          <w:rFonts w:ascii="宋体" w:hAnsi="宋体" w:cs="宋体"/>
          <w:sz w:val="24"/>
        </w:rPr>
      </w:pPr>
      <w:r>
        <w:rPr>
          <w:rFonts w:hint="eastAsia" w:ascii="楷体" w:hAnsi="楷体" w:eastAsia="楷体" w:cs="宋体"/>
          <w:sz w:val="24"/>
        </w:rPr>
        <w:t>编号</w:t>
      </w:r>
      <w:r>
        <w:rPr>
          <w:rFonts w:hint="eastAsia" w:ascii="宋体" w:hAnsi="宋体" w:cs="宋体"/>
          <w:sz w:val="24"/>
        </w:rPr>
        <w:t>：</w:t>
      </w:r>
      <w:r>
        <w:rPr>
          <w:rFonts w:ascii="Times New Roman" w:hAnsi="Times New Roman"/>
          <w:sz w:val="24"/>
        </w:rPr>
        <w:t>202</w:t>
      </w: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-00</w:t>
      </w:r>
      <w:r>
        <w:rPr>
          <w:rFonts w:hint="eastAsia" w:ascii="Times New Roman" w:hAnsi="Times New Roman"/>
          <w:sz w:val="24"/>
        </w:rPr>
        <w:t>2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6855"/>
      </w:tblGrid>
      <w:tr w14:paraId="5CA5C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6E7D">
            <w:pPr>
              <w:jc w:val="center"/>
              <w:rPr>
                <w:rFonts w:ascii="Times New Roman" w:hAnsi="Times New Roman" w:eastAsia="楷体"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E2F3F8">
            <w:pPr>
              <w:widowControl/>
              <w:tabs>
                <w:tab w:val="left" w:pos="3480"/>
              </w:tabs>
              <w:spacing w:line="360" w:lineRule="auto"/>
              <w:rPr>
                <w:rFonts w:ascii="Times New Roman" w:hAnsi="Times New Roman" w:eastAsia="楷体"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Cs/>
                <w:sz w:val="24"/>
              </w:rPr>
              <w:t>√特定对象调研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 xml:space="preserve">□分析师会议 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>□媒体采访</w:t>
            </w:r>
          </w:p>
          <w:p w14:paraId="5B6BEDEE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ascii="Times New Roman" w:hAnsi="Times New Roman" w:eastAsia="楷体"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Cs/>
                <w:sz w:val="24"/>
              </w:rPr>
              <w:t>□业绩说明会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 xml:space="preserve">□新闻发布会 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>□路演活动</w:t>
            </w:r>
          </w:p>
          <w:p w14:paraId="089AE50A">
            <w:pPr>
              <w:spacing w:line="360" w:lineRule="auto"/>
              <w:rPr>
                <w:rFonts w:ascii="Times New Roman" w:hAnsi="Times New Roman" w:eastAsia="楷体"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Cs/>
                <w:sz w:val="24"/>
              </w:rPr>
              <w:t>□现场参观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 xml:space="preserve">□一对一沟通 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>□其他（电话会议）</w:t>
            </w:r>
          </w:p>
        </w:tc>
      </w:tr>
      <w:tr w14:paraId="47FF1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143B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参与单位</w:t>
            </w:r>
            <w:r>
              <w:rPr>
                <w:rFonts w:hint="eastAsia" w:ascii="Times New Roman" w:hAnsi="Times New Roman" w:eastAsia="楷体"/>
                <w:b/>
                <w:bCs/>
                <w:sz w:val="24"/>
              </w:rPr>
              <w:t>及人员</w:t>
            </w:r>
            <w:r>
              <w:rPr>
                <w:rFonts w:ascii="Times New Roman" w:hAnsi="Times New Roman" w:eastAsia="楷体"/>
                <w:b/>
                <w:bCs/>
                <w:sz w:val="24"/>
              </w:rPr>
              <w:t>名称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B3D0F5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中泰证券</w:t>
            </w:r>
          </w:p>
        </w:tc>
      </w:tr>
      <w:tr w14:paraId="5C371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18BE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时间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A33FC3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2025</w:t>
            </w:r>
            <w:r>
              <w:rPr>
                <w:rFonts w:ascii="Times New Roman" w:hAnsi="Times New Roman" w:eastAsia="楷体"/>
                <w:sz w:val="24"/>
              </w:rPr>
              <w:t>年</w:t>
            </w:r>
            <w:r>
              <w:rPr>
                <w:rFonts w:hint="eastAsia" w:ascii="Times New Roman" w:hAnsi="Times New Roman" w:eastAsia="楷体"/>
                <w:sz w:val="24"/>
              </w:rPr>
              <w:t>6</w:t>
            </w:r>
            <w:r>
              <w:rPr>
                <w:rFonts w:ascii="Times New Roman" w:hAnsi="Times New Roman" w:eastAsia="楷体"/>
                <w:sz w:val="24"/>
              </w:rPr>
              <w:t>月</w:t>
            </w:r>
            <w:r>
              <w:rPr>
                <w:rFonts w:hint="eastAsia" w:ascii="Times New Roman" w:hAnsi="Times New Roman" w:eastAsia="楷体"/>
                <w:sz w:val="24"/>
              </w:rPr>
              <w:t>23日</w:t>
            </w:r>
          </w:p>
        </w:tc>
      </w:tr>
      <w:tr w14:paraId="7984E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773C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地点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9DAB6D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江苏华盛锂电材料股份有限公司</w:t>
            </w:r>
            <w:r>
              <w:rPr>
                <w:rFonts w:hint="eastAsia" w:ascii="Times New Roman" w:hAnsi="Times New Roman" w:eastAsia="楷体"/>
                <w:sz w:val="24"/>
              </w:rPr>
              <w:t>三期会议室</w:t>
            </w:r>
          </w:p>
        </w:tc>
      </w:tr>
      <w:tr w14:paraId="1447A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39C2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9A1930">
            <w:pPr>
              <w:spacing w:before="156" w:beforeLines="50" w:after="156" w:afterLines="50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副总经理、董事会秘书：黄振东</w:t>
            </w:r>
          </w:p>
          <w:p w14:paraId="0619B6A0">
            <w:pPr>
              <w:spacing w:before="156" w:beforeLines="50" w:after="156" w:afterLines="50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证券事务代表：陆海媛</w:t>
            </w:r>
          </w:p>
        </w:tc>
      </w:tr>
      <w:tr w14:paraId="34C57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867C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37B182">
            <w:pPr>
              <w:adjustRightInd w:val="0"/>
              <w:snapToGrid w:val="0"/>
              <w:spacing w:line="360" w:lineRule="auto"/>
              <w:ind w:firstLine="44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本次投资者交流会中，投资者重点关注的问题及公司的回复要点如下：</w:t>
            </w:r>
          </w:p>
          <w:p w14:paraId="278B224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1、公司目前VC和FEC产能有多少，产能利用率如何？在建的项目有哪些？</w:t>
            </w:r>
          </w:p>
          <w:p w14:paraId="53C13462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答：公司积极扩展电解液添加剂产品的产能，目前拥有张家港一期、二期、三期以及全资子公司泰兴华盛四个生产基地，随着公司募投项目三期的建成投产，VC、FEC产能合计1.4万吨/年。公司凭借产品质量稳定性和一致性，还有长期以来在业内积攒的口碑，产能利用率一直保持在较高水平。公司正在积极推进“年产20万吨低能耗高性能锂电池负极材料项目（其中第一期5万吨）”、“新建年产500吨LiDFOB、2000吨MMDS项目”、“年产3000吨双氟代磺酰亚胺锂项目”，“年产6万吨碳酸亚乙烯酯项目（一期3万吨）”、“年处理144,000吨/年固液气综合危废焚烧处置&amp;资源化循环利用中心项目”的建设，力争早日完工尽快释放产能，助力公司业绩更上一层楼。</w:t>
            </w:r>
          </w:p>
          <w:p w14:paraId="45AFA8D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2、负极项目的进展情况如何？</w:t>
            </w:r>
          </w:p>
          <w:p w14:paraId="19BB8AE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答：公司子公司华盛联赢携手武汉大学进行技术合作开发，通过采用可控流化床CVD技术，将纳米硅颗粒与熔盐活化技术制备的碳基材料（如石墨、碳纳米管、无定形碳等）进行复合，成功研发出硅碳负极材料。该材料通过碳硅复合结构设计，在保留硅材料高能量密度优势的同时，有效解决了纯硅负极体积膨胀率大、循环寿命短的技术痛点，显著提升了电池综合性能。该项目正在进行产业化规划，华盛联赢将积极推动该产品从实验室向批量产业化进程。</w:t>
            </w:r>
          </w:p>
          <w:p w14:paraId="14BE5270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3、固态电池出现是否会冲击公司现有电解液添加剂业务？公司有哪些策略方针解决？</w:t>
            </w:r>
          </w:p>
          <w:p w14:paraId="094C437F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答：随着行业的发展以及技术的迭代，新型技术路径如氢燃料电池、固态锂离子电池等新型电池可能对现有的液态锂离子电池产生冲击。但任何新技术的产业化都需要不断地经过市场的验证，各种技术路线的电池产品也将长期在市场上共存，大部分技术路线仍然将使用公司的各类电解液添加剂产品。公司同时也密切关注长效安全固态锂电池材料的发展，着重固态电池的电解质材料的设计与开发，以及提高电极稳定性和传导性的材料的设计与开发，用于满足下一代长寿命高输出动力型固态锂电池材料的市场需求，如硫化物固态电解质以及高导电性添加剂等材料的研究开发。</w:t>
            </w:r>
          </w:p>
          <w:p w14:paraId="71C2691C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4、请简单介绍一下硫化物固态电解质的研</w:t>
            </w: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  <w:lang w:eastAsia="zh-CN"/>
              </w:rPr>
              <w:t>发</w:t>
            </w:r>
            <w:bookmarkStart w:id="0" w:name="_GoBack"/>
            <w:bookmarkEnd w:id="0"/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进展情况。</w:t>
            </w:r>
          </w:p>
          <w:p w14:paraId="4E4AC94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答：针对市场上流行的硫化物固态电解质关键材料硫化锂的制备工艺，公司已掌握固相法和液相法等多种制备路线。在深入研究和多次试制的基础上，结合公司在合成、提纯和溶剂回收方面的技术优势，公司选择了液相法制备高纯度硫化锂，该工艺具有纯度高、收率高、后续加工性能好等优势。公司以高纯度硫化锂为基础材料，与客户共同开发的固态电解质Li6PS5Cl的离子电导率可达5.57ms/cm。后续，公司将在不断完善工艺的基础上，探索硫化锂批量化生产工艺，并对新一代高电导率、高机械强度的硫化物固态电解质进行深入研究。</w:t>
            </w:r>
          </w:p>
          <w:p w14:paraId="1F69463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5、请简要介绍一下公司的研发团队情况。</w:t>
            </w:r>
          </w:p>
          <w:p w14:paraId="42E9547F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答:公司重视研发与持续技术创新，经过多年发展组建了满足行业与公司技术发展要求的研发团队，截至2024年底，公司从事技术研发的人员共有119人，占公司员工总数的比例为10.62%。</w:t>
            </w:r>
          </w:p>
        </w:tc>
      </w:tr>
      <w:tr w14:paraId="16475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F7F1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</w:rPr>
              <w:t>附件清单（如有）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BECCAE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无</w:t>
            </w:r>
          </w:p>
        </w:tc>
      </w:tr>
      <w:tr w14:paraId="34D5B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857566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</w:rPr>
              <w:t>日期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CCE5F5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2025</w:t>
            </w:r>
            <w:r>
              <w:rPr>
                <w:rFonts w:ascii="Times New Roman" w:hAnsi="Times New Roman" w:eastAsia="楷体"/>
                <w:sz w:val="24"/>
              </w:rPr>
              <w:t>年</w:t>
            </w:r>
            <w:r>
              <w:rPr>
                <w:rFonts w:hint="eastAsia" w:ascii="Times New Roman" w:hAnsi="Times New Roman" w:eastAsia="楷体"/>
                <w:sz w:val="24"/>
              </w:rPr>
              <w:t>6</w:t>
            </w:r>
            <w:r>
              <w:rPr>
                <w:rFonts w:ascii="Times New Roman" w:hAnsi="Times New Roman" w:eastAsia="楷体"/>
                <w:sz w:val="24"/>
              </w:rPr>
              <w:t>月</w:t>
            </w:r>
            <w:r>
              <w:rPr>
                <w:rFonts w:hint="eastAsia" w:ascii="Times New Roman" w:hAnsi="Times New Roman" w:eastAsia="楷体"/>
                <w:sz w:val="24"/>
              </w:rPr>
              <w:t>23日</w:t>
            </w:r>
          </w:p>
        </w:tc>
      </w:tr>
    </w:tbl>
    <w:p w14:paraId="030FAC05">
      <w:pPr>
        <w:widowControl/>
        <w:jc w:val="left"/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F4E83">
    <w:pPr>
      <w:pStyle w:val="5"/>
      <w:rPr>
        <w:rFonts w:ascii="楷体" w:hAnsi="楷体" w:eastAsia="楷体"/>
      </w:rPr>
    </w:pPr>
    <w:r>
      <w:rPr>
        <w:rFonts w:hint="eastAsia" w:ascii="楷体" w:hAnsi="楷体" w:eastAsia="楷体"/>
      </w:rPr>
      <w:t xml:space="preserve">江苏华盛锂电材料股份有限公司 </w:t>
    </w:r>
    <w:r>
      <w:rPr>
        <w:rFonts w:ascii="楷体" w:hAnsi="楷体" w:eastAsia="楷体"/>
      </w:rPr>
      <w:t xml:space="preserve">                                               </w:t>
    </w:r>
    <w:r>
      <w:rPr>
        <w:rFonts w:hint="eastAsia" w:ascii="楷体" w:hAnsi="楷体" w:eastAsia="楷体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18"/>
    <w:rsid w:val="00001488"/>
    <w:rsid w:val="000076A8"/>
    <w:rsid w:val="0001396B"/>
    <w:rsid w:val="00013B2C"/>
    <w:rsid w:val="000251BC"/>
    <w:rsid w:val="0002600A"/>
    <w:rsid w:val="00031EDC"/>
    <w:rsid w:val="00032FBF"/>
    <w:rsid w:val="0004190F"/>
    <w:rsid w:val="0006665D"/>
    <w:rsid w:val="000752AD"/>
    <w:rsid w:val="000B7145"/>
    <w:rsid w:val="000C0917"/>
    <w:rsid w:val="000D1EEA"/>
    <w:rsid w:val="000E0A29"/>
    <w:rsid w:val="000E4A02"/>
    <w:rsid w:val="000F7A15"/>
    <w:rsid w:val="00106CE5"/>
    <w:rsid w:val="00110AC1"/>
    <w:rsid w:val="00110FC0"/>
    <w:rsid w:val="00114A39"/>
    <w:rsid w:val="00114B26"/>
    <w:rsid w:val="00121DE3"/>
    <w:rsid w:val="00127A0C"/>
    <w:rsid w:val="0013291D"/>
    <w:rsid w:val="001356DC"/>
    <w:rsid w:val="00135DE9"/>
    <w:rsid w:val="00136571"/>
    <w:rsid w:val="0014063C"/>
    <w:rsid w:val="001716C9"/>
    <w:rsid w:val="00172A27"/>
    <w:rsid w:val="001764CF"/>
    <w:rsid w:val="00180E8C"/>
    <w:rsid w:val="001C3E04"/>
    <w:rsid w:val="001C65A5"/>
    <w:rsid w:val="001D107B"/>
    <w:rsid w:val="001D76A0"/>
    <w:rsid w:val="002051B0"/>
    <w:rsid w:val="00214F3F"/>
    <w:rsid w:val="0021568D"/>
    <w:rsid w:val="002421F3"/>
    <w:rsid w:val="0025795E"/>
    <w:rsid w:val="002707AC"/>
    <w:rsid w:val="002A5DDA"/>
    <w:rsid w:val="002B1EA1"/>
    <w:rsid w:val="002B2792"/>
    <w:rsid w:val="002B5738"/>
    <w:rsid w:val="003046C0"/>
    <w:rsid w:val="003146EB"/>
    <w:rsid w:val="003168B2"/>
    <w:rsid w:val="00342805"/>
    <w:rsid w:val="00356C12"/>
    <w:rsid w:val="0036096D"/>
    <w:rsid w:val="00362CEE"/>
    <w:rsid w:val="003712F0"/>
    <w:rsid w:val="00372B7B"/>
    <w:rsid w:val="00382BB7"/>
    <w:rsid w:val="00384A01"/>
    <w:rsid w:val="00385F42"/>
    <w:rsid w:val="003864BC"/>
    <w:rsid w:val="00391142"/>
    <w:rsid w:val="00394720"/>
    <w:rsid w:val="003A22AA"/>
    <w:rsid w:val="003A4773"/>
    <w:rsid w:val="003C56D1"/>
    <w:rsid w:val="003D2184"/>
    <w:rsid w:val="003E6473"/>
    <w:rsid w:val="003F6DC0"/>
    <w:rsid w:val="00402082"/>
    <w:rsid w:val="00415566"/>
    <w:rsid w:val="0042296F"/>
    <w:rsid w:val="00426B09"/>
    <w:rsid w:val="00432FC9"/>
    <w:rsid w:val="004413F5"/>
    <w:rsid w:val="00452094"/>
    <w:rsid w:val="00453D13"/>
    <w:rsid w:val="00456D35"/>
    <w:rsid w:val="00461E20"/>
    <w:rsid w:val="004646BB"/>
    <w:rsid w:val="00464AC6"/>
    <w:rsid w:val="004672FD"/>
    <w:rsid w:val="00476C84"/>
    <w:rsid w:val="004853F9"/>
    <w:rsid w:val="0049067C"/>
    <w:rsid w:val="00496215"/>
    <w:rsid w:val="00496ED9"/>
    <w:rsid w:val="004A033B"/>
    <w:rsid w:val="004A215B"/>
    <w:rsid w:val="004A227A"/>
    <w:rsid w:val="004B35E2"/>
    <w:rsid w:val="004B42FE"/>
    <w:rsid w:val="004C7EAD"/>
    <w:rsid w:val="004D001F"/>
    <w:rsid w:val="004D3F22"/>
    <w:rsid w:val="004D45FF"/>
    <w:rsid w:val="004E3115"/>
    <w:rsid w:val="004F3029"/>
    <w:rsid w:val="0050067C"/>
    <w:rsid w:val="005026B6"/>
    <w:rsid w:val="00502E9C"/>
    <w:rsid w:val="00520FE3"/>
    <w:rsid w:val="0052527D"/>
    <w:rsid w:val="00530F80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C7A1B"/>
    <w:rsid w:val="005D4B0E"/>
    <w:rsid w:val="0060293E"/>
    <w:rsid w:val="00605E6F"/>
    <w:rsid w:val="00612D1C"/>
    <w:rsid w:val="00613EDC"/>
    <w:rsid w:val="0062262A"/>
    <w:rsid w:val="006264DF"/>
    <w:rsid w:val="00627ADB"/>
    <w:rsid w:val="006439B3"/>
    <w:rsid w:val="00646058"/>
    <w:rsid w:val="006469A4"/>
    <w:rsid w:val="00661F6B"/>
    <w:rsid w:val="00664FF6"/>
    <w:rsid w:val="006655B9"/>
    <w:rsid w:val="006672F6"/>
    <w:rsid w:val="006B0D03"/>
    <w:rsid w:val="006B22F5"/>
    <w:rsid w:val="006C7C57"/>
    <w:rsid w:val="006D2E8D"/>
    <w:rsid w:val="006D389E"/>
    <w:rsid w:val="0071100A"/>
    <w:rsid w:val="00711238"/>
    <w:rsid w:val="0071206F"/>
    <w:rsid w:val="00712771"/>
    <w:rsid w:val="00720F84"/>
    <w:rsid w:val="0073320D"/>
    <w:rsid w:val="00736A80"/>
    <w:rsid w:val="00742D08"/>
    <w:rsid w:val="00744CAC"/>
    <w:rsid w:val="007460EB"/>
    <w:rsid w:val="00746C2A"/>
    <w:rsid w:val="007477DF"/>
    <w:rsid w:val="007713DA"/>
    <w:rsid w:val="00792EEF"/>
    <w:rsid w:val="007A4530"/>
    <w:rsid w:val="007A6F30"/>
    <w:rsid w:val="007A7D7C"/>
    <w:rsid w:val="007B371D"/>
    <w:rsid w:val="007B4CF9"/>
    <w:rsid w:val="007C1B43"/>
    <w:rsid w:val="007D738A"/>
    <w:rsid w:val="007F2858"/>
    <w:rsid w:val="007F717B"/>
    <w:rsid w:val="007F74C6"/>
    <w:rsid w:val="007F7552"/>
    <w:rsid w:val="00800D77"/>
    <w:rsid w:val="00804834"/>
    <w:rsid w:val="00804B8F"/>
    <w:rsid w:val="00804DE1"/>
    <w:rsid w:val="008057B4"/>
    <w:rsid w:val="008414A2"/>
    <w:rsid w:val="00854B7A"/>
    <w:rsid w:val="00870B23"/>
    <w:rsid w:val="00891E31"/>
    <w:rsid w:val="008A10B2"/>
    <w:rsid w:val="008B1C28"/>
    <w:rsid w:val="008B5547"/>
    <w:rsid w:val="008C24CC"/>
    <w:rsid w:val="008C7A2E"/>
    <w:rsid w:val="008C7E7C"/>
    <w:rsid w:val="008D1D7F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1912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DC7"/>
    <w:rsid w:val="009F3F06"/>
    <w:rsid w:val="00A02568"/>
    <w:rsid w:val="00A04DD5"/>
    <w:rsid w:val="00A05634"/>
    <w:rsid w:val="00A127DE"/>
    <w:rsid w:val="00A24A6E"/>
    <w:rsid w:val="00A55870"/>
    <w:rsid w:val="00A62859"/>
    <w:rsid w:val="00A6428F"/>
    <w:rsid w:val="00A73B46"/>
    <w:rsid w:val="00A75413"/>
    <w:rsid w:val="00A82D19"/>
    <w:rsid w:val="00A87B8F"/>
    <w:rsid w:val="00A9103F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4214A"/>
    <w:rsid w:val="00B533A2"/>
    <w:rsid w:val="00B5658A"/>
    <w:rsid w:val="00B62C32"/>
    <w:rsid w:val="00B64DFA"/>
    <w:rsid w:val="00B85A0D"/>
    <w:rsid w:val="00B90446"/>
    <w:rsid w:val="00BA14F2"/>
    <w:rsid w:val="00BA5BFE"/>
    <w:rsid w:val="00BA7DD1"/>
    <w:rsid w:val="00BB4944"/>
    <w:rsid w:val="00BC37C2"/>
    <w:rsid w:val="00BC3D46"/>
    <w:rsid w:val="00BD0C60"/>
    <w:rsid w:val="00BE08B7"/>
    <w:rsid w:val="00BE2645"/>
    <w:rsid w:val="00BE67F0"/>
    <w:rsid w:val="00C064EA"/>
    <w:rsid w:val="00C3372B"/>
    <w:rsid w:val="00C358B5"/>
    <w:rsid w:val="00C42CBD"/>
    <w:rsid w:val="00C4451C"/>
    <w:rsid w:val="00C510B0"/>
    <w:rsid w:val="00C51B18"/>
    <w:rsid w:val="00C5461F"/>
    <w:rsid w:val="00C61A3F"/>
    <w:rsid w:val="00C63FD3"/>
    <w:rsid w:val="00C70626"/>
    <w:rsid w:val="00C80A5E"/>
    <w:rsid w:val="00C947D4"/>
    <w:rsid w:val="00C95434"/>
    <w:rsid w:val="00CA27D4"/>
    <w:rsid w:val="00CA6F63"/>
    <w:rsid w:val="00CC62F4"/>
    <w:rsid w:val="00CC75B4"/>
    <w:rsid w:val="00CE3455"/>
    <w:rsid w:val="00CF0E73"/>
    <w:rsid w:val="00CF47E1"/>
    <w:rsid w:val="00CF6E94"/>
    <w:rsid w:val="00D0634E"/>
    <w:rsid w:val="00D1386F"/>
    <w:rsid w:val="00D156EC"/>
    <w:rsid w:val="00D320C3"/>
    <w:rsid w:val="00D57B48"/>
    <w:rsid w:val="00D83A19"/>
    <w:rsid w:val="00DA0D89"/>
    <w:rsid w:val="00DA3C8F"/>
    <w:rsid w:val="00DB2152"/>
    <w:rsid w:val="00DB35E3"/>
    <w:rsid w:val="00DB738F"/>
    <w:rsid w:val="00DC6FE4"/>
    <w:rsid w:val="00DD0014"/>
    <w:rsid w:val="00DD1BCC"/>
    <w:rsid w:val="00DD5690"/>
    <w:rsid w:val="00DD5E20"/>
    <w:rsid w:val="00DE1B2B"/>
    <w:rsid w:val="00DE7187"/>
    <w:rsid w:val="00DF0E83"/>
    <w:rsid w:val="00DF2823"/>
    <w:rsid w:val="00DF3D1C"/>
    <w:rsid w:val="00E04B86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5460E"/>
    <w:rsid w:val="00E751D8"/>
    <w:rsid w:val="00E90C93"/>
    <w:rsid w:val="00E91FB3"/>
    <w:rsid w:val="00E9483C"/>
    <w:rsid w:val="00E95915"/>
    <w:rsid w:val="00EA151C"/>
    <w:rsid w:val="00EA7263"/>
    <w:rsid w:val="00EC7D2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D02B3"/>
    <w:rsid w:val="00FD33E7"/>
    <w:rsid w:val="00FE2E5A"/>
    <w:rsid w:val="00FF4AE9"/>
    <w:rsid w:val="00FF5BE3"/>
    <w:rsid w:val="23DB3F63"/>
    <w:rsid w:val="24465EFD"/>
    <w:rsid w:val="28D90053"/>
    <w:rsid w:val="2E7712D2"/>
    <w:rsid w:val="2EF861C1"/>
    <w:rsid w:val="38EF7122"/>
    <w:rsid w:val="3F855194"/>
    <w:rsid w:val="64421FF9"/>
    <w:rsid w:val="67E5006B"/>
    <w:rsid w:val="7143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0"/>
    <w:rPr>
      <w:sz w:val="21"/>
      <w:szCs w:val="21"/>
    </w:rPr>
  </w:style>
  <w:style w:type="paragraph" w:customStyle="1" w:styleId="11">
    <w:name w:val="Table Paragraph"/>
    <w:basedOn w:val="1"/>
    <w:qFormat/>
    <w:uiPriority w:val="0"/>
    <w:pPr>
      <w:jc w:val="left"/>
    </w:pPr>
    <w:rPr>
      <w:kern w:val="0"/>
      <w:sz w:val="22"/>
      <w:szCs w:val="22"/>
    </w:rPr>
  </w:style>
  <w:style w:type="table" w:customStyle="1" w:styleId="12">
    <w:name w:val="Table Normal"/>
    <w:basedOn w:val="7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link w:val="5"/>
    <w:uiPriority w:val="0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cs="Times New Roman"/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oli-avatar-text"/>
    <w:basedOn w:val="9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9"/>
    <w:link w:val="2"/>
    <w:semiHidden/>
    <w:uiPriority w:val="0"/>
    <w:rPr>
      <w:rFonts w:cs="Times New Roman"/>
      <w:kern w:val="2"/>
      <w:sz w:val="21"/>
      <w:szCs w:val="24"/>
    </w:rPr>
  </w:style>
  <w:style w:type="character" w:customStyle="1" w:styleId="19">
    <w:name w:val="批注主题 Char"/>
    <w:basedOn w:val="18"/>
    <w:link w:val="6"/>
    <w:semiHidden/>
    <w:qFormat/>
    <w:uiPriority w:val="0"/>
    <w:rPr>
      <w:rFonts w:cs="Times New Roman"/>
      <w:b/>
      <w:bCs/>
      <w:kern w:val="2"/>
      <w:sz w:val="21"/>
      <w:szCs w:val="24"/>
    </w:rPr>
  </w:style>
  <w:style w:type="character" w:customStyle="1" w:styleId="20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B3F5-2EB2-4C2B-A420-63D8CA7A76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1420</Words>
  <Characters>1498</Characters>
  <Lines>11</Lines>
  <Paragraphs>3</Paragraphs>
  <TotalTime>446</TotalTime>
  <ScaleCrop>false</ScaleCrop>
  <LinksUpToDate>false</LinksUpToDate>
  <CharactersWithSpaces>1573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2022-11-25T07:23:00Z</dcterms:created>
  <dc:creator>86186</dc:creator>
  <cp:lastModifiedBy>朱凯</cp:lastModifiedBy>
  <cp:lastPrinted>2022-03-16T07:42:00Z</cp:lastPrinted>
  <dcterms:modified xsi:type="dcterms:W3CDTF">2025-06-23T07:59:12Z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eyJoZGlkIjoiMzJiNTAyNjNlNjExZTE1ZWNkNTRlNTMyM2Y4Yzk5NjMiLCJ1c2VySWQiOiIyNDc2OTg4OTYifQ==</vt:lpwstr>
  </property>
  <property fmtid="{D5CDD505-2E9C-101B-9397-08002B2CF9AE}" pid="4" name="ICV">
    <vt:lpwstr>B9C0BAB2B8034280A9FC3E0F6BEA452C_12</vt:lpwstr>
  </property>
</Properties>
</file>