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hint="eastAsia"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hint="eastAsia"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val="en-US" w:eastAsia="zh-CN"/>
        </w:rPr>
        <w:t>5</w:t>
      </w:r>
      <w:r>
        <w:rPr>
          <w:rFonts w:hint="eastAsia" w:ascii="宋体" w:hAnsi="宋体"/>
          <w:b/>
          <w:iCs/>
          <w:sz w:val="24"/>
          <w:szCs w:val="24"/>
        </w:rPr>
        <w:t>年</w:t>
      </w:r>
      <w:r>
        <w:rPr>
          <w:rFonts w:hint="eastAsia" w:ascii="宋体" w:hAnsi="宋体"/>
          <w:b/>
          <w:iCs/>
          <w:sz w:val="24"/>
          <w:szCs w:val="24"/>
          <w:lang w:val="en-US" w:eastAsia="zh-CN"/>
        </w:rPr>
        <w:t>6</w:t>
      </w:r>
      <w:r>
        <w:rPr>
          <w:rFonts w:hint="eastAsia" w:ascii="宋体" w:hAnsi="宋体"/>
          <w:b/>
          <w:iCs/>
          <w:sz w:val="24"/>
          <w:szCs w:val="24"/>
        </w:rPr>
        <w:t>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203"/>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99D38DD">
            <w:pPr>
              <w:spacing w:line="360" w:lineRule="auto"/>
              <w:jc w:val="center"/>
              <w:rPr>
                <w:rFonts w:hint="eastAsia" w:ascii="宋体" w:hAnsi="宋体"/>
                <w:b/>
                <w:bCs/>
                <w:iCs/>
                <w:sz w:val="24"/>
                <w:szCs w:val="24"/>
              </w:rPr>
            </w:pPr>
            <w:r>
              <w:rPr>
                <w:rFonts w:hint="eastAsia" w:ascii="宋体" w:hAnsi="宋体"/>
                <w:b/>
                <w:bCs/>
                <w:iCs/>
                <w:sz w:val="24"/>
                <w:szCs w:val="24"/>
              </w:rPr>
              <w:t>投资者关系活动类别</w:t>
            </w:r>
          </w:p>
        </w:tc>
        <w:tc>
          <w:tcPr>
            <w:tcW w:w="6203" w:type="dxa"/>
            <w:vAlign w:val="center"/>
          </w:tcPr>
          <w:p w14:paraId="4936C92A">
            <w:pPr>
              <w:spacing w:line="360" w:lineRule="auto"/>
              <w:rPr>
                <w:rFonts w:hint="eastAsia"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tcPr>
          <w:p w14:paraId="7CE61A69">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国盛证券、</w:t>
            </w:r>
            <w:bookmarkStart w:id="0" w:name="_GoBack"/>
            <w:bookmarkEnd w:id="0"/>
            <w:r>
              <w:rPr>
                <w:rFonts w:hint="default" w:ascii="宋体" w:hAnsi="宋体" w:cs="宋体"/>
                <w:sz w:val="24"/>
                <w:szCs w:val="24"/>
              </w:rPr>
              <w:t>天弘基金</w:t>
            </w:r>
            <w:r>
              <w:rPr>
                <w:rFonts w:hint="eastAsia" w:ascii="宋体" w:hAnsi="宋体" w:cs="宋体"/>
                <w:sz w:val="24"/>
                <w:szCs w:val="24"/>
                <w:lang w:eastAsia="zh-CN"/>
              </w:rPr>
              <w:t>、</w:t>
            </w:r>
            <w:r>
              <w:rPr>
                <w:rFonts w:hint="default" w:ascii="宋体" w:hAnsi="宋体" w:cs="宋体"/>
                <w:sz w:val="24"/>
                <w:szCs w:val="24"/>
              </w:rPr>
              <w:t>人保养老</w:t>
            </w:r>
            <w:r>
              <w:rPr>
                <w:rFonts w:hint="eastAsia" w:ascii="宋体" w:hAnsi="宋体" w:cs="宋体"/>
                <w:sz w:val="24"/>
                <w:szCs w:val="24"/>
                <w:lang w:eastAsia="zh-CN"/>
              </w:rPr>
              <w:t>、</w:t>
            </w:r>
            <w:r>
              <w:rPr>
                <w:rFonts w:hint="default" w:ascii="宋体" w:hAnsi="宋体" w:cs="宋体"/>
                <w:sz w:val="24"/>
                <w:szCs w:val="24"/>
              </w:rPr>
              <w:t>建信基金</w:t>
            </w:r>
            <w:r>
              <w:rPr>
                <w:rFonts w:hint="eastAsia" w:ascii="宋体" w:hAnsi="宋体" w:cs="宋体"/>
                <w:sz w:val="24"/>
                <w:szCs w:val="24"/>
                <w:lang w:eastAsia="zh-CN"/>
              </w:rPr>
              <w:t>、</w:t>
            </w:r>
            <w:r>
              <w:rPr>
                <w:rFonts w:hint="default" w:ascii="宋体" w:hAnsi="宋体" w:cs="宋体"/>
                <w:sz w:val="24"/>
                <w:szCs w:val="24"/>
              </w:rPr>
              <w:t>宏利</w:t>
            </w:r>
            <w:r>
              <w:rPr>
                <w:rFonts w:hint="eastAsia" w:ascii="宋体" w:hAnsi="宋体" w:cs="宋体"/>
                <w:sz w:val="24"/>
                <w:szCs w:val="24"/>
                <w:lang w:val="en-US" w:eastAsia="zh-CN"/>
              </w:rPr>
              <w:t>基金</w:t>
            </w:r>
            <w:r>
              <w:rPr>
                <w:rFonts w:hint="default" w:ascii="宋体" w:hAnsi="宋体" w:cs="宋体"/>
                <w:sz w:val="24"/>
                <w:szCs w:val="24"/>
              </w:rPr>
              <w:t xml:space="preserve"> </w:t>
            </w:r>
            <w:r>
              <w:rPr>
                <w:rFonts w:hint="eastAsia" w:ascii="宋体" w:hAnsi="宋体" w:cs="宋体"/>
                <w:sz w:val="24"/>
                <w:szCs w:val="24"/>
                <w:lang w:eastAsia="zh-CN"/>
              </w:rPr>
              <w:t>、</w:t>
            </w:r>
            <w:r>
              <w:rPr>
                <w:rFonts w:hint="default" w:ascii="宋体" w:hAnsi="宋体" w:cs="宋体"/>
                <w:sz w:val="24"/>
                <w:szCs w:val="24"/>
              </w:rPr>
              <w:t>民生加银</w:t>
            </w:r>
            <w:r>
              <w:rPr>
                <w:rFonts w:hint="eastAsia" w:ascii="宋体" w:hAnsi="宋体" w:cs="宋体"/>
                <w:sz w:val="24"/>
                <w:szCs w:val="24"/>
                <w:lang w:eastAsia="zh-CN"/>
              </w:rPr>
              <w:t>、</w:t>
            </w:r>
            <w:r>
              <w:rPr>
                <w:rFonts w:hint="default" w:ascii="宋体" w:hAnsi="宋体" w:cs="宋体"/>
                <w:sz w:val="24"/>
                <w:szCs w:val="24"/>
              </w:rPr>
              <w:t>大家资产</w:t>
            </w:r>
            <w:r>
              <w:rPr>
                <w:rFonts w:hint="eastAsia" w:ascii="宋体" w:hAnsi="宋体" w:cs="宋体"/>
                <w:sz w:val="24"/>
                <w:szCs w:val="24"/>
                <w:lang w:eastAsia="zh-CN"/>
              </w:rPr>
              <w:t>、易方达、广发基金、大成基金、招商基金、博时基金、信达澳亚、前海开源、景顺长城、平安基金、鹏华基金、深圳红筹、东方阿尔法</w:t>
            </w:r>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A8094E6">
            <w:pPr>
              <w:spacing w:line="360" w:lineRule="auto"/>
              <w:jc w:val="center"/>
              <w:rPr>
                <w:rFonts w:hint="eastAsia" w:ascii="宋体" w:hAnsi="宋体"/>
                <w:b/>
                <w:bCs/>
                <w:iCs/>
                <w:sz w:val="24"/>
                <w:szCs w:val="24"/>
              </w:rPr>
            </w:pPr>
            <w:r>
              <w:rPr>
                <w:rFonts w:hint="eastAsia" w:ascii="宋体" w:hAnsi="宋体"/>
                <w:b/>
                <w:bCs/>
                <w:iCs/>
                <w:sz w:val="24"/>
                <w:szCs w:val="24"/>
              </w:rPr>
              <w:t>时间</w:t>
            </w:r>
          </w:p>
        </w:tc>
        <w:tc>
          <w:tcPr>
            <w:tcW w:w="6203" w:type="dxa"/>
          </w:tcPr>
          <w:p w14:paraId="326BC5A2">
            <w:pPr>
              <w:spacing w:line="360" w:lineRule="auto"/>
              <w:rPr>
                <w:rFonts w:hint="eastAsia" w:ascii="宋体" w:hAnsi="宋体" w:eastAsia="宋体"/>
                <w:bCs/>
                <w:iCs/>
                <w:sz w:val="24"/>
                <w:szCs w:val="24"/>
                <w:lang w:val="en-US" w:eastAsia="zh-CN"/>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5</w:t>
            </w:r>
            <w:r>
              <w:rPr>
                <w:rFonts w:hint="eastAsia" w:ascii="宋体" w:hAnsi="宋体"/>
                <w:bCs/>
                <w:iCs/>
                <w:sz w:val="24"/>
                <w:szCs w:val="24"/>
              </w:rPr>
              <w:t>年</w:t>
            </w:r>
            <w:r>
              <w:rPr>
                <w:rFonts w:hint="eastAsia" w:ascii="宋体" w:hAnsi="宋体"/>
                <w:bCs/>
                <w:iCs/>
                <w:sz w:val="24"/>
                <w:szCs w:val="24"/>
                <w:lang w:val="en-US" w:eastAsia="zh-CN"/>
              </w:rPr>
              <w:t>6</w:t>
            </w:r>
            <w:r>
              <w:rPr>
                <w:rFonts w:hint="eastAsia" w:ascii="宋体" w:hAnsi="宋体"/>
                <w:bCs/>
                <w:iCs/>
                <w:sz w:val="24"/>
                <w:szCs w:val="24"/>
              </w:rPr>
              <w:t>月</w:t>
            </w:r>
            <w:r>
              <w:rPr>
                <w:rFonts w:hint="eastAsia" w:ascii="宋体" w:hAnsi="宋体"/>
                <w:bCs/>
                <w:iCs/>
                <w:sz w:val="24"/>
                <w:szCs w:val="24"/>
                <w:lang w:val="en-US" w:eastAsia="zh-CN"/>
              </w:rPr>
              <w:t>19</w:t>
            </w:r>
            <w:r>
              <w:rPr>
                <w:rFonts w:hint="eastAsia" w:ascii="宋体" w:hAnsi="宋体"/>
                <w:bCs/>
                <w:iCs/>
                <w:sz w:val="24"/>
                <w:szCs w:val="24"/>
              </w:rPr>
              <w:t>日</w:t>
            </w:r>
            <w:r>
              <w:rPr>
                <w:rFonts w:hint="eastAsia" w:ascii="宋体" w:hAnsi="宋体"/>
                <w:bCs/>
                <w:iCs/>
                <w:sz w:val="24"/>
                <w:szCs w:val="24"/>
                <w:lang w:val="en-US" w:eastAsia="zh-CN"/>
              </w:rPr>
              <w:t>-6</w:t>
            </w:r>
            <w:r>
              <w:rPr>
                <w:rFonts w:hint="eastAsia" w:ascii="宋体" w:hAnsi="宋体"/>
                <w:bCs/>
                <w:iCs/>
                <w:sz w:val="24"/>
                <w:szCs w:val="24"/>
              </w:rPr>
              <w:t>月</w:t>
            </w:r>
            <w:r>
              <w:rPr>
                <w:rFonts w:hint="eastAsia" w:ascii="宋体" w:hAnsi="宋体"/>
                <w:bCs/>
                <w:iCs/>
                <w:sz w:val="24"/>
                <w:szCs w:val="24"/>
                <w:lang w:val="en-US" w:eastAsia="zh-CN"/>
              </w:rPr>
              <w:t>20</w:t>
            </w:r>
            <w:r>
              <w:rPr>
                <w:rFonts w:hint="eastAsia" w:ascii="宋体" w:hAnsi="宋体"/>
                <w:bCs/>
                <w:iCs/>
                <w:sz w:val="24"/>
                <w:szCs w:val="24"/>
              </w:rPr>
              <w:t>日</w:t>
            </w:r>
          </w:p>
        </w:tc>
      </w:tr>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FEB7A8D">
            <w:pPr>
              <w:spacing w:line="360" w:lineRule="auto"/>
              <w:jc w:val="center"/>
              <w:rPr>
                <w:rFonts w:hint="eastAsia" w:ascii="宋体" w:hAnsi="宋体"/>
                <w:b/>
                <w:bCs/>
                <w:iCs/>
                <w:sz w:val="24"/>
                <w:szCs w:val="24"/>
              </w:rPr>
            </w:pPr>
            <w:r>
              <w:rPr>
                <w:rFonts w:hint="eastAsia" w:ascii="宋体" w:hAnsi="宋体"/>
                <w:b/>
                <w:bCs/>
                <w:iCs/>
                <w:sz w:val="24"/>
                <w:szCs w:val="24"/>
              </w:rPr>
              <w:t>参会方式</w:t>
            </w:r>
          </w:p>
        </w:tc>
        <w:tc>
          <w:tcPr>
            <w:tcW w:w="6203" w:type="dxa"/>
          </w:tcPr>
          <w:p w14:paraId="4C5F5090">
            <w:pPr>
              <w:spacing w:line="360" w:lineRule="auto"/>
              <w:rPr>
                <w:rFonts w:hint="eastAsia" w:ascii="宋体" w:hAnsi="宋体"/>
                <w:bCs/>
                <w:iCs/>
                <w:sz w:val="24"/>
                <w:szCs w:val="24"/>
              </w:rPr>
            </w:pPr>
            <w:r>
              <w:rPr>
                <w:rFonts w:hint="eastAsia" w:ascii="宋体" w:hAnsi="宋体"/>
                <w:bCs/>
                <w:iCs/>
                <w:sz w:val="24"/>
                <w:szCs w:val="24"/>
              </w:rPr>
              <w:t>线</w:t>
            </w:r>
            <w:r>
              <w:rPr>
                <w:rFonts w:hint="eastAsia" w:ascii="宋体" w:hAnsi="宋体"/>
                <w:bCs/>
                <w:iCs/>
                <w:sz w:val="24"/>
                <w:szCs w:val="24"/>
                <w:lang w:val="en-US" w:eastAsia="zh-CN"/>
              </w:rPr>
              <w:t>下</w:t>
            </w:r>
            <w:r>
              <w:rPr>
                <w:rFonts w:hint="eastAsia" w:ascii="宋体" w:hAnsi="宋体"/>
                <w:bCs/>
                <w:iCs/>
                <w:sz w:val="24"/>
                <w:szCs w:val="24"/>
              </w:rPr>
              <w:t>会议</w:t>
            </w:r>
          </w:p>
        </w:tc>
      </w:tr>
      <w:tr w14:paraId="220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vAlign w:val="center"/>
          </w:tcPr>
          <w:p w14:paraId="5422822E">
            <w:pPr>
              <w:spacing w:line="360" w:lineRule="auto"/>
              <w:rPr>
                <w:rFonts w:hint="eastAsia" w:ascii="宋体" w:hAnsi="宋体"/>
                <w:bCs/>
                <w:iCs/>
                <w:sz w:val="24"/>
                <w:szCs w:val="24"/>
                <w:lang w:val="en-US" w:eastAsia="zh-CN"/>
              </w:rPr>
            </w:pPr>
            <w:r>
              <w:rPr>
                <w:rFonts w:hint="eastAsia" w:ascii="宋体" w:hAnsi="宋体"/>
                <w:bCs/>
                <w:iCs/>
                <w:sz w:val="24"/>
                <w:szCs w:val="24"/>
                <w:lang w:val="en-US" w:eastAsia="zh-CN"/>
              </w:rPr>
              <w:t>董事会秘书 魏丽萍女士</w:t>
            </w:r>
          </w:p>
          <w:p w14:paraId="2806ADAF">
            <w:pPr>
              <w:spacing w:line="360" w:lineRule="auto"/>
              <w:rPr>
                <w:rFonts w:hint="eastAsia" w:ascii="宋体" w:hAnsi="宋体"/>
                <w:bCs/>
                <w:iCs/>
                <w:sz w:val="24"/>
                <w:szCs w:val="24"/>
                <w:lang w:val="en-US" w:eastAsia="zh-CN"/>
              </w:rPr>
            </w:pPr>
            <w:r>
              <w:rPr>
                <w:rFonts w:hint="eastAsia" w:ascii="宋体" w:hAnsi="宋体"/>
                <w:bCs/>
                <w:iCs/>
                <w:sz w:val="24"/>
                <w:szCs w:val="24"/>
                <w:lang w:val="en-US" w:eastAsia="zh-CN"/>
              </w:rPr>
              <w:t>投资者关系总监 郭心驰女士</w:t>
            </w:r>
          </w:p>
          <w:p w14:paraId="385DFB64">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投资者关系主管 杨贵娇女士</w:t>
            </w:r>
          </w:p>
        </w:tc>
      </w:tr>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394FAC4">
            <w:pPr>
              <w:spacing w:line="360" w:lineRule="auto"/>
              <w:jc w:val="center"/>
              <w:rPr>
                <w:rFonts w:hint="eastAsia" w:ascii="宋体" w:hAnsi="宋体"/>
                <w:b/>
                <w:bCs/>
                <w:iCs/>
                <w:sz w:val="24"/>
                <w:szCs w:val="24"/>
              </w:rPr>
            </w:pPr>
            <w:r>
              <w:rPr>
                <w:rFonts w:hint="eastAsia" w:ascii="宋体" w:hAnsi="宋体"/>
                <w:b/>
                <w:bCs/>
                <w:iCs/>
                <w:sz w:val="24"/>
                <w:szCs w:val="24"/>
              </w:rPr>
              <w:t>投资者关系活动主要内容介绍</w:t>
            </w:r>
          </w:p>
        </w:tc>
        <w:tc>
          <w:tcPr>
            <w:tcW w:w="6203" w:type="dxa"/>
          </w:tcPr>
          <w:p w14:paraId="4D36C545">
            <w:pPr>
              <w:numPr>
                <w:ilvl w:val="255"/>
                <w:numId w:val="0"/>
              </w:numPr>
              <w:spacing w:before="156" w:beforeLines="50" w:line="360" w:lineRule="auto"/>
              <w:ind w:firstLine="480" w:firstLineChars="200"/>
              <w:rPr>
                <w:sz w:val="24"/>
              </w:rPr>
            </w:pPr>
            <w:r>
              <w:rPr>
                <w:rFonts w:hint="eastAsia"/>
                <w:sz w:val="24"/>
              </w:rPr>
              <w:t>一、公司介绍环节</w:t>
            </w:r>
          </w:p>
          <w:p w14:paraId="111C0B92">
            <w:pPr>
              <w:numPr>
                <w:ilvl w:val="255"/>
                <w:numId w:val="0"/>
              </w:numPr>
              <w:spacing w:before="156" w:beforeLines="50" w:line="360" w:lineRule="auto"/>
              <w:ind w:firstLine="480" w:firstLineChars="200"/>
              <w:rPr>
                <w:rFonts w:hint="eastAsia"/>
                <w:sz w:val="24"/>
              </w:rPr>
            </w:pPr>
            <w:r>
              <w:rPr>
                <w:rFonts w:hint="eastAsia"/>
                <w:sz w:val="24"/>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作为一家专注于药物创新研发的综合性企业，阳光诺和通过“研发服务+管线培育+新质产业链”三位一体战略，在自研创新、技术升级及全球化布局上实现多重突破，展现出从CRO“委托方”向创新驱动型“合作方”转型的强劲势能。</w:t>
            </w:r>
          </w:p>
          <w:p w14:paraId="3C74F722">
            <w:pPr>
              <w:numPr>
                <w:ilvl w:val="255"/>
                <w:numId w:val="0"/>
              </w:numPr>
              <w:spacing w:before="156" w:beforeLines="50" w:line="360" w:lineRule="auto"/>
              <w:ind w:firstLine="480" w:firstLineChars="200"/>
              <w:rPr>
                <w:rFonts w:hint="default"/>
                <w:sz w:val="24"/>
                <w:lang w:val="en-US" w:eastAsia="zh-CN"/>
              </w:rPr>
            </w:pPr>
            <w:r>
              <w:rPr>
                <w:rFonts w:hint="eastAsia"/>
                <w:sz w:val="24"/>
              </w:rPr>
              <w:t>研发创新方面，公司不断加大研发投入，截止2024年底公司研发项目累计已超430项，其中新立项自研项目达89余项。在创新药研发方面在研产品主要应用在镇痛、肾病与透析、肿瘤辅助、心脑血管、抗菌用药等适应症领域，并有多个创新药在研项目在国内无相同产品上市，竞争格局良好，极具市场价值。后续随着这些药品上市，将为公司拓展更多临床应用场景提供可能性。例如在多肽领域，公司目前已有3个适应症管线进入临床，其中STC007注射液目前具有手术后镇痛和尿毒症瘙痒两个适应症，手术后镇痛适应症已经完成二期临床试验，近期公司披露了STC007注射液治疗腹部手术后的中、重度疼痛的二期临床试验数据，根据数据结果，该临床试验达成预期目标。STC007注射液治疗尿毒症瘙痒适应症也已进入二期临床试验阶段，同时STC008注射液已进入一期临床试验阶段，其主要适应症为治疗晚期实体瘤相关的肿瘤恶液质，其他管线在临床前研究不同阶段，进展顺利。</w:t>
            </w:r>
          </w:p>
          <w:p w14:paraId="5141B665">
            <w:pPr>
              <w:numPr>
                <w:ilvl w:val="255"/>
                <w:numId w:val="0"/>
              </w:numPr>
              <w:spacing w:before="156" w:beforeLines="50" w:line="360" w:lineRule="auto"/>
              <w:ind w:firstLine="482" w:firstLineChars="200"/>
              <w:rPr>
                <w:rFonts w:hint="eastAsia" w:ascii="宋体" w:hAnsi="宋体"/>
                <w:b/>
                <w:iCs/>
                <w:sz w:val="24"/>
                <w:szCs w:val="24"/>
              </w:rPr>
            </w:pPr>
            <w:r>
              <w:rPr>
                <w:rFonts w:hint="eastAsia" w:ascii="宋体" w:hAnsi="宋体"/>
                <w:b/>
                <w:iCs/>
                <w:sz w:val="24"/>
                <w:szCs w:val="24"/>
              </w:rPr>
              <w:t>二、问答环节</w:t>
            </w:r>
          </w:p>
          <w:p w14:paraId="35E90C95">
            <w:pPr>
              <w:numPr>
                <w:ilvl w:val="255"/>
                <w:numId w:val="0"/>
              </w:numPr>
              <w:spacing w:before="156" w:beforeLines="50" w:line="360" w:lineRule="auto"/>
              <w:ind w:firstLine="482" w:firstLineChars="200"/>
              <w:rPr>
                <w:rFonts w:hint="eastAsia"/>
                <w:sz w:val="24"/>
              </w:rPr>
            </w:pPr>
            <w:r>
              <w:rPr>
                <w:rFonts w:hint="eastAsia"/>
                <w:b/>
                <w:iCs/>
                <w:sz w:val="24"/>
                <w:szCs w:val="24"/>
                <w:lang w:val="en-US" w:eastAsia="zh-CN"/>
              </w:rPr>
              <w:t>1、</w:t>
            </w:r>
            <w:r>
              <w:rPr>
                <w:rFonts w:hint="eastAsia"/>
                <w:b/>
                <w:iCs/>
                <w:sz w:val="24"/>
                <w:szCs w:val="24"/>
              </w:rPr>
              <w:t>国家出台的《全链条支持创新药发展实施方案》对公司创新药业务有哪些具体的积极影响？</w:t>
            </w:r>
            <w:r>
              <w:rPr>
                <w:rFonts w:hint="eastAsia"/>
                <w:b/>
                <w:iCs/>
                <w:sz w:val="24"/>
                <w:szCs w:val="24"/>
                <w:lang w:val="en-US" w:eastAsia="zh-CN"/>
              </w:rPr>
              <w:t xml:space="preserve"> </w:t>
            </w:r>
          </w:p>
          <w:p w14:paraId="0426EF2E">
            <w:pPr>
              <w:numPr>
                <w:ilvl w:val="255"/>
                <w:numId w:val="0"/>
              </w:numPr>
              <w:spacing w:before="156" w:beforeLines="50" w:line="360" w:lineRule="auto"/>
              <w:ind w:firstLine="480" w:firstLineChars="200"/>
              <w:rPr>
                <w:rFonts w:hint="eastAsia"/>
                <w:sz w:val="24"/>
              </w:rPr>
            </w:pPr>
            <w:r>
              <w:rPr>
                <w:rFonts w:hint="eastAsia"/>
                <w:sz w:val="24"/>
              </w:rPr>
              <w:t>该方案对公司创新药业务有多方面积极影响。在研发环节，公司利用 AI 药物发现和开发技术平台（如 CADD 和 AIDD 技术），能借助政策支持快速挖掘潜在药物靶点，缩短早期研发周期，推动更多FIC（首创新药）/BIC（同类最优）项目立项。例如，通过AI技术可以对大量的生物数据进行分析，筛选出更有潜力的药物研发方向，从而提高研发效率，降低研发成本。</w:t>
            </w:r>
          </w:p>
          <w:p w14:paraId="285DC1EA">
            <w:pPr>
              <w:numPr>
                <w:ilvl w:val="255"/>
                <w:numId w:val="0"/>
              </w:numPr>
              <w:spacing w:before="156" w:beforeLines="50" w:line="360" w:lineRule="auto"/>
              <w:ind w:firstLine="480" w:firstLineChars="200"/>
              <w:rPr>
                <w:rFonts w:hint="eastAsia"/>
                <w:sz w:val="24"/>
              </w:rPr>
            </w:pPr>
            <w:r>
              <w:rPr>
                <w:rFonts w:hint="eastAsia"/>
                <w:sz w:val="24"/>
              </w:rPr>
              <w:t>在临床推进方面，公司“药学+临床”一体化平台可深度协同政策导向，以临床价值为核心优化试验设计，加速项目从IND（临床申请）到NDA（新药上市）的转化。政策导向使得公司在临床试验设计时更注重临床实际需求，让研发的药物更贴合患者需要，也能加快审批流程，缩短研发周期。</w:t>
            </w:r>
          </w:p>
          <w:p w14:paraId="562D3177">
            <w:pPr>
              <w:numPr>
                <w:ilvl w:val="255"/>
                <w:numId w:val="0"/>
              </w:numPr>
              <w:spacing w:before="156" w:beforeLines="50" w:line="360" w:lineRule="auto"/>
              <w:ind w:firstLine="480" w:firstLineChars="200"/>
              <w:rPr>
                <w:rFonts w:hint="eastAsia" w:eastAsia="宋体"/>
                <w:sz w:val="24"/>
                <w:lang w:eastAsia="zh-CN"/>
              </w:rPr>
            </w:pPr>
            <w:r>
              <w:rPr>
                <w:rFonts w:hint="eastAsia"/>
                <w:sz w:val="24"/>
              </w:rPr>
              <w:t>在商业化进程上，公司可根据临床数据和市场前景，灵活调整商业化策略，加速创新药的上市进程。通过与</w:t>
            </w:r>
            <w:r>
              <w:rPr>
                <w:rFonts w:hint="eastAsia"/>
                <w:sz w:val="24"/>
                <w:lang w:val="en-US" w:eastAsia="zh-CN"/>
              </w:rPr>
              <w:t>艺妙神州</w:t>
            </w:r>
            <w:r>
              <w:rPr>
                <w:rFonts w:hint="eastAsia"/>
                <w:sz w:val="24"/>
              </w:rPr>
              <w:t>等企业的合作，借助其技术和资源优势，进一步提升创新药的市场竞争力，加速商业化落地</w:t>
            </w:r>
            <w:r>
              <w:rPr>
                <w:rFonts w:hint="eastAsia"/>
                <w:sz w:val="24"/>
                <w:lang w:eastAsia="zh-CN"/>
              </w:rPr>
              <w:t>。</w:t>
            </w:r>
          </w:p>
          <w:p w14:paraId="4170B9A1">
            <w:pPr>
              <w:numPr>
                <w:ilvl w:val="255"/>
                <w:numId w:val="0"/>
              </w:numPr>
              <w:spacing w:before="156" w:beforeLines="50" w:line="360" w:lineRule="auto"/>
              <w:ind w:firstLine="480" w:firstLineChars="200"/>
              <w:rPr>
                <w:rFonts w:hint="eastAsia"/>
                <w:sz w:val="24"/>
                <w:lang w:val="en-US" w:eastAsia="zh-CN"/>
              </w:rPr>
            </w:pPr>
            <w:r>
              <w:rPr>
                <w:rFonts w:hint="eastAsia"/>
                <w:sz w:val="24"/>
                <w:lang w:val="en-US" w:eastAsia="zh-CN"/>
              </w:rPr>
              <w:t>子</w:t>
            </w:r>
            <w:r>
              <w:rPr>
                <w:rFonts w:hint="eastAsia"/>
                <w:sz w:val="24"/>
              </w:rPr>
              <w:t>公司</w:t>
            </w:r>
            <w:r>
              <w:rPr>
                <w:rFonts w:hint="eastAsia"/>
                <w:sz w:val="24"/>
                <w:lang w:val="en-US" w:eastAsia="zh-CN"/>
              </w:rPr>
              <w:t>诺和晟泰</w:t>
            </w:r>
            <w:r>
              <w:rPr>
                <w:rFonts w:hint="eastAsia"/>
                <w:sz w:val="24"/>
              </w:rPr>
              <w:t>是一家以多肽药物及小分子化学药为主，集自主创新、技术服务及技术转让为一体的综合型CRO服务企业，目前已形成药品开发“全创新链+全产业链”服务的核心竞争体系，研发项目主要基于自主选择和立项。公司秉承创新为驱动的发展战略，以核心产品线为中心，积极在内分泌、镇痛、呼吸、肿瘤、心脑血管、泌尿系统、医疗美容、自体免疫细胞治疗等细分领域进行布局。目前，公司正在研发的创新药物超过十种，其中进展较快的“STC007注射液”用于腹部手术后的中、重度疼痛治疗的II期临床试验</w:t>
            </w:r>
            <w:r>
              <w:rPr>
                <w:rFonts w:hint="eastAsia"/>
                <w:sz w:val="24"/>
                <w:lang w:val="en-US" w:eastAsia="zh-CN"/>
              </w:rPr>
              <w:t>已完成，据近期披露的实验数据显示该临床实验已</w:t>
            </w:r>
            <w:r>
              <w:rPr>
                <w:rFonts w:hint="eastAsia"/>
                <w:sz w:val="24"/>
              </w:rPr>
              <w:t>达成预期目标，针对尿毒症瘙痒的II期临床试验正在开展中；而截至2024年年报，“STC008注射液”处于1期临床试验阶段，其主要适应症为治疗晚期实体瘤相关的肿瘤恶液质。</w:t>
            </w:r>
          </w:p>
          <w:p w14:paraId="04B39D75">
            <w:pPr>
              <w:numPr>
                <w:ilvl w:val="0"/>
                <w:numId w:val="1"/>
              </w:numPr>
              <w:spacing w:before="156" w:beforeLines="50" w:line="360" w:lineRule="auto"/>
              <w:ind w:firstLine="482" w:firstLineChars="200"/>
              <w:rPr>
                <w:rFonts w:hint="eastAsia"/>
                <w:b/>
                <w:bCs/>
                <w:sz w:val="24"/>
                <w:lang w:val="en-US" w:eastAsia="zh-CN"/>
              </w:rPr>
            </w:pPr>
            <w:r>
              <w:rPr>
                <w:rFonts w:hint="eastAsia"/>
                <w:b/>
                <w:bCs/>
                <w:sz w:val="24"/>
                <w:lang w:val="en-US" w:eastAsia="zh-CN"/>
              </w:rPr>
              <w:t>公司募集资金投资项目情况？</w:t>
            </w:r>
          </w:p>
          <w:p w14:paraId="39E1C511">
            <w:pPr>
              <w:numPr>
                <w:ilvl w:val="-1"/>
                <w:numId w:val="0"/>
              </w:numPr>
              <w:spacing w:before="156" w:beforeLines="50" w:line="360" w:lineRule="auto"/>
              <w:ind w:firstLine="480" w:firstLineChars="200"/>
              <w:rPr>
                <w:rFonts w:hint="default"/>
                <w:sz w:val="24"/>
                <w:lang w:val="en-US" w:eastAsia="zh-CN"/>
              </w:rPr>
            </w:pPr>
            <w:r>
              <w:rPr>
                <w:rFonts w:hint="eastAsia"/>
                <w:sz w:val="24"/>
                <w:lang w:val="en-US" w:eastAsia="zh-CN"/>
              </w:rPr>
              <w:t>近期，</w:t>
            </w:r>
            <w:r>
              <w:rPr>
                <w:rFonts w:hint="default"/>
                <w:sz w:val="24"/>
              </w:rPr>
              <w:t>鉴于公司募投项</w:t>
            </w:r>
            <w:r>
              <w:rPr>
                <w:rFonts w:hint="eastAsia" w:ascii="宋体" w:hAnsi="宋体" w:cs="宋体"/>
                <w:sz w:val="24"/>
              </w:rPr>
              <w:t>目“药物创新研发平台项目”、“临床试验服务平台建设项目”、“创新药物PK/PD研究平台项目”已达到预定可使用状态，为最大程度地发挥资金使用效益，公司将节余募集资金投入新项目“多肽分子大模型平台项目”、“创新药研发项目”</w:t>
            </w:r>
            <w:r>
              <w:rPr>
                <w:rFonts w:hint="eastAsia" w:ascii="宋体" w:hAnsi="宋体" w:cs="宋体"/>
                <w:sz w:val="24"/>
                <w:lang w:eastAsia="zh-CN"/>
              </w:rPr>
              <w:t>。</w:t>
            </w:r>
          </w:p>
          <w:p w14:paraId="7EF07AD2">
            <w:pPr>
              <w:numPr>
                <w:ilvl w:val="-1"/>
                <w:numId w:val="0"/>
              </w:numPr>
              <w:spacing w:before="156" w:beforeLines="50" w:line="360" w:lineRule="auto"/>
              <w:ind w:firstLine="480" w:firstLineChars="200"/>
              <w:rPr>
                <w:rFonts w:hint="default"/>
                <w:sz w:val="24"/>
              </w:rPr>
            </w:pPr>
            <w:r>
              <w:rPr>
                <w:rFonts w:hint="eastAsia"/>
                <w:sz w:val="24"/>
                <w:lang w:val="en-US" w:eastAsia="zh-CN"/>
              </w:rPr>
              <w:t>在</w:t>
            </w:r>
            <w:r>
              <w:rPr>
                <w:rFonts w:hint="default"/>
                <w:sz w:val="24"/>
              </w:rPr>
              <w:t>多肽分子大模型平台项目</w:t>
            </w:r>
            <w:r>
              <w:rPr>
                <w:rFonts w:hint="eastAsia"/>
                <w:sz w:val="24"/>
                <w:lang w:val="en-US" w:eastAsia="zh-CN"/>
              </w:rPr>
              <w:t>上</w:t>
            </w:r>
            <w:r>
              <w:rPr>
                <w:rFonts w:hint="eastAsia"/>
                <w:sz w:val="24"/>
                <w:lang w:eastAsia="zh-CN"/>
              </w:rPr>
              <w:t>，</w:t>
            </w:r>
            <w:r>
              <w:rPr>
                <w:rFonts w:hint="default"/>
                <w:sz w:val="24"/>
              </w:rPr>
              <w:t>公司与华为云计算技术有限公司合作，共同打造独家多肽分子大模型平台。该平台将涵盖多肽分子力场开发、自由能微扰（FEP）计算、分子动力学（MD）增强采样算法、多肽相互作用模型、亲和力模型、条件生成模型以及属性预测模型等多个关键模块。在此基础上，双方启动并推进多条多肽药物研发管线，涵盖从苗头化合物的发现到先导化合物的优化等研发阶段</w:t>
            </w:r>
            <w:r>
              <w:rPr>
                <w:rFonts w:hint="eastAsia"/>
                <w:sz w:val="24"/>
                <w:lang w:eastAsia="zh-CN"/>
              </w:rPr>
              <w:t>。</w:t>
            </w:r>
            <w:r>
              <w:rPr>
                <w:rFonts w:hint="eastAsia"/>
                <w:sz w:val="24"/>
                <w:lang w:val="en-US" w:eastAsia="zh-CN"/>
              </w:rPr>
              <w:t>公司计划使用</w:t>
            </w:r>
            <w:r>
              <w:rPr>
                <w:rFonts w:hint="default"/>
                <w:sz w:val="24"/>
              </w:rPr>
              <w:t>募集资金</w:t>
            </w:r>
            <w:r>
              <w:rPr>
                <w:rFonts w:hint="eastAsia"/>
                <w:sz w:val="24"/>
                <w:lang w:val="en-US" w:eastAsia="zh-CN"/>
              </w:rPr>
              <w:t>投资</w:t>
            </w:r>
            <w:r>
              <w:rPr>
                <w:rFonts w:hint="default"/>
                <w:sz w:val="24"/>
              </w:rPr>
              <w:t>人民币5,000万元。本次募集资金将重点投入四大核心领域：首先，用于多肽大模型的研发与优化，深度挖掘人工智能在多肽领域的应用潜力；其次，构建专业化的多肽计算平台，建立高效精准的多肽结构与功能预测体系；第三，进行平台集成与测试工作，确保各系统模块的兼容性与稳定性，实现数据与功能的无缝对接；最后，推动药物靶点验证，通过实验研究与数据分析，为多肽药物研发打下坚实基础，加速创新药物的开发进程。</w:t>
            </w:r>
          </w:p>
          <w:p w14:paraId="6733EFF3">
            <w:pPr>
              <w:numPr>
                <w:ilvl w:val="-1"/>
                <w:numId w:val="0"/>
              </w:numPr>
              <w:spacing w:before="156" w:beforeLines="50" w:line="360" w:lineRule="auto"/>
              <w:ind w:firstLine="480" w:firstLineChars="200"/>
              <w:rPr>
                <w:rFonts w:hint="default"/>
                <w:sz w:val="24"/>
              </w:rPr>
            </w:pPr>
            <w:r>
              <w:rPr>
                <w:rFonts w:hint="eastAsia" w:ascii="宋体" w:hAnsi="宋体" w:cs="宋体"/>
                <w:sz w:val="24"/>
                <w:lang w:val="en-US" w:eastAsia="zh-CN"/>
              </w:rPr>
              <w:t>公司</w:t>
            </w:r>
            <w:r>
              <w:rPr>
                <w:rFonts w:hint="eastAsia" w:ascii="宋体" w:hAnsi="宋体" w:cs="宋体"/>
                <w:sz w:val="24"/>
              </w:rPr>
              <w:t>创新药研发项目</w:t>
            </w:r>
            <w:r>
              <w:rPr>
                <w:rFonts w:hint="default"/>
                <w:sz w:val="24"/>
              </w:rPr>
              <w:t>主要围绕STC007注射液项目展开，创新药STC007注射液目前具有术后中至重度疼痛及成人慢性肾脏疾病相关的中至重度瘙痒（CKD-aP）的治疗两个适应症。STC007为外周kappa受体的选择性激动剂，具有良好的镇痛效果和止痒作用，能较大程度地满足未满足的临床需求。项目总投资额为人民币15,000万元，其中募集资金金额为人民币8,189.77万元，自有资金金额为人民币6,810.23万元</w:t>
            </w:r>
            <w:r>
              <w:rPr>
                <w:rFonts w:hint="eastAsia"/>
                <w:sz w:val="24"/>
                <w:lang w:eastAsia="zh-CN"/>
              </w:rPr>
              <w:t>，</w:t>
            </w:r>
            <w:r>
              <w:rPr>
                <w:rFonts w:hint="default"/>
                <w:sz w:val="24"/>
              </w:rPr>
              <w:t>建设周期预计为3年（最终以实际开展情况为准）</w:t>
            </w:r>
          </w:p>
          <w:p w14:paraId="36480BA9">
            <w:pPr>
              <w:numPr>
                <w:ilvl w:val="0"/>
                <w:numId w:val="1"/>
              </w:numPr>
              <w:spacing w:before="156" w:beforeLines="50" w:line="360" w:lineRule="auto"/>
              <w:ind w:firstLine="482" w:firstLineChars="200"/>
              <w:rPr>
                <w:rFonts w:hint="default"/>
                <w:b/>
                <w:bCs/>
                <w:sz w:val="24"/>
                <w:lang w:val="en-US" w:eastAsia="zh-CN"/>
              </w:rPr>
            </w:pPr>
            <w:r>
              <w:rPr>
                <w:rFonts w:hint="eastAsia"/>
                <w:b/>
                <w:bCs/>
                <w:sz w:val="24"/>
              </w:rPr>
              <w:t>公司</w:t>
            </w:r>
            <w:r>
              <w:rPr>
                <w:rFonts w:hint="eastAsia"/>
                <w:b/>
                <w:bCs/>
                <w:sz w:val="24"/>
                <w:lang w:eastAsia="zh-CN"/>
              </w:rPr>
              <w:t>S</w:t>
            </w:r>
            <w:r>
              <w:rPr>
                <w:rFonts w:hint="eastAsia"/>
                <w:b/>
                <w:bCs/>
                <w:sz w:val="24"/>
                <w:lang w:val="en-US" w:eastAsia="zh-CN"/>
              </w:rPr>
              <w:t>TC007注射液的市场规模如何</w:t>
            </w:r>
            <w:r>
              <w:rPr>
                <w:rFonts w:hint="eastAsia"/>
                <w:b/>
                <w:bCs/>
                <w:sz w:val="24"/>
              </w:rPr>
              <w:t>？</w:t>
            </w:r>
          </w:p>
          <w:p w14:paraId="1840CAE3">
            <w:pPr>
              <w:numPr>
                <w:ilvl w:val="-1"/>
                <w:numId w:val="0"/>
              </w:numPr>
              <w:spacing w:before="156" w:beforeLines="50" w:line="360" w:lineRule="auto"/>
              <w:ind w:firstLine="480" w:firstLineChars="200"/>
              <w:rPr>
                <w:rFonts w:hint="default"/>
                <w:sz w:val="24"/>
              </w:rPr>
            </w:pPr>
            <w:r>
              <w:rPr>
                <w:rFonts w:hint="default"/>
                <w:sz w:val="24"/>
              </w:rPr>
              <w:t>目前，全球镇痛领域及尿毒症瘙痒领域存在显著的未满足临床需求。在疼痛管理方面，全球镇痛市场规模庞大且呈持续增长态势。据预测，全球术后疼痛市场规模将从2023年的400.9亿美元增长至2031年的603.6亿美元，2024-2031年期间的复合年增长率为5.25%。然而，当前销售额较大的止痛药物多为阿片类药物，其成瘾性限制了临床应用的广泛性。在尿毒症瘙痒领域，中国的透析患者总数已经突破100万，其中血液透析患者占比超过80%。在这些血液透析患者中，约60%-80%会出现瘙痒症状，其中30%-40%为中至重度瘙痒。然而，该病症的发病机制尚未完全明确，全球范围内获批的治疗药物较少，临床需求远远未得到充分满足。</w:t>
            </w:r>
          </w:p>
          <w:p w14:paraId="3F13BDC0">
            <w:pPr>
              <w:numPr>
                <w:ilvl w:val="-1"/>
                <w:numId w:val="0"/>
              </w:numPr>
              <w:spacing w:before="156" w:beforeLines="50" w:line="360" w:lineRule="auto"/>
              <w:ind w:firstLine="480" w:firstLineChars="200"/>
              <w:rPr>
                <w:rFonts w:hint="default"/>
                <w:sz w:val="24"/>
              </w:rPr>
            </w:pPr>
            <w:r>
              <w:rPr>
                <w:rFonts w:hint="eastAsia"/>
                <w:sz w:val="24"/>
                <w:lang w:val="en-US" w:eastAsia="zh-CN"/>
              </w:rPr>
              <w:t>公司自主研发的</w:t>
            </w:r>
            <w:r>
              <w:rPr>
                <w:rFonts w:hint="default"/>
                <w:sz w:val="24"/>
              </w:rPr>
              <w:t>STC007注射液为外周选择性多肽类κ阿片样物质受体激动剂，其作用机制有效填补了上述市场空白。STC007注射液不仅能实现强效镇痛和抑制瘙痒，且因其不易透过血脑屏障，可避免中枢阿片类药物常见的呼吸抑制、便秘及成瘾等副作用。凭借其出色的安全性和成药性，STC007注射液能够切实满足市场对高效、安全治疗方案的迫切需求，未来有望在疼痛和瘙痒治疗市场中占据重要地位，展现出良好的市场前景。</w:t>
            </w:r>
          </w:p>
          <w:p w14:paraId="4C157FB5">
            <w:pPr>
              <w:numPr>
                <w:ilvl w:val="0"/>
                <w:numId w:val="1"/>
              </w:numPr>
              <w:spacing w:before="156" w:beforeLines="50" w:line="360" w:lineRule="auto"/>
              <w:ind w:firstLine="482" w:firstLineChars="200"/>
              <w:rPr>
                <w:rFonts w:hint="eastAsia"/>
                <w:b/>
                <w:bCs/>
                <w:sz w:val="24"/>
                <w:lang w:val="en-US" w:eastAsia="zh-CN"/>
              </w:rPr>
            </w:pPr>
            <w:r>
              <w:rPr>
                <w:rFonts w:hint="eastAsia"/>
                <w:b/>
                <w:bCs/>
                <w:sz w:val="24"/>
                <w:lang w:val="en-US" w:eastAsia="zh-CN"/>
              </w:rPr>
              <w:t>公司创新药研发团队的背景是怎样的？</w:t>
            </w:r>
          </w:p>
          <w:p w14:paraId="3C898E87">
            <w:pPr>
              <w:numPr>
                <w:ilvl w:val="-1"/>
                <w:numId w:val="0"/>
              </w:numPr>
              <w:spacing w:before="156" w:beforeLines="50" w:line="360" w:lineRule="auto"/>
              <w:ind w:firstLine="480" w:firstLineChars="200"/>
              <w:rPr>
                <w:rFonts w:hint="default" w:eastAsia="宋体"/>
                <w:bCs/>
                <w:sz w:val="24"/>
                <w:lang w:val="en-US" w:eastAsia="zh-CN"/>
              </w:rPr>
            </w:pPr>
            <w:r>
              <w:rPr>
                <w:rFonts w:hint="eastAsia"/>
                <w:sz w:val="24"/>
                <w:lang w:val="en-US" w:eastAsia="zh-CN"/>
              </w:rPr>
              <w:t>公司全资子公司</w:t>
            </w:r>
            <w:r>
              <w:rPr>
                <w:rFonts w:hint="default"/>
                <w:sz w:val="24"/>
              </w:rPr>
              <w:t>诺和晟泰拥有一支由国家级人才专家、四川省级人才专家领衔的近200人的国际化高层次科技创业团队，涵盖计算机辅助设计智能对接、药理药效、CMC研究以及注册项目管理等关键领域。团队核心成员之间配合默契，凭借多年积累的国际创新药研发与管理经验，形成了强大的专业优势互补。凭借卓越的团队实力，荣获2021年“四川省‘高层次人才计划’高层次创新创业团队”以及“成都市‘蓉漂计划’顶尖创新创业团队”称号。在核心研发团队的引领下，诺和晟泰秉持自主创新理念，深耕专业细分领域，构建了一体化的新药研发体系。团队成员职能全面覆盖创新药的早期设计与筛选、临床前评价、全球临床开发、生产管理以及药品注册等各个环节。高素质的核心研发团队为公司未来的产品布局以及本项目的顺利实施奠定了坚实的基础。</w:t>
            </w:r>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93" w:type="dxa"/>
            <w:vAlign w:val="center"/>
          </w:tcPr>
          <w:p w14:paraId="49E359F1">
            <w:pPr>
              <w:spacing w:line="360" w:lineRule="auto"/>
              <w:jc w:val="left"/>
              <w:rPr>
                <w:rFonts w:hint="eastAsia" w:ascii="宋体" w:hAnsi="宋体"/>
                <w:b/>
                <w:bCs/>
                <w:iCs/>
                <w:sz w:val="24"/>
                <w:szCs w:val="24"/>
              </w:rPr>
            </w:pPr>
            <w:r>
              <w:rPr>
                <w:rFonts w:hint="eastAsia" w:ascii="宋体" w:hAnsi="宋体"/>
                <w:b/>
                <w:bCs/>
                <w:iCs/>
                <w:sz w:val="24"/>
                <w:szCs w:val="24"/>
              </w:rPr>
              <w:t>附件清单（如有）</w:t>
            </w:r>
          </w:p>
        </w:tc>
        <w:tc>
          <w:tcPr>
            <w:tcW w:w="6203" w:type="dxa"/>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17A6FD2">
            <w:pPr>
              <w:spacing w:line="360" w:lineRule="auto"/>
              <w:jc w:val="left"/>
              <w:rPr>
                <w:rFonts w:hint="eastAsia" w:ascii="宋体" w:hAnsi="宋体"/>
                <w:b/>
                <w:bCs/>
                <w:iCs/>
                <w:sz w:val="24"/>
                <w:szCs w:val="24"/>
              </w:rPr>
            </w:pPr>
            <w:r>
              <w:rPr>
                <w:rFonts w:hint="eastAsia" w:ascii="宋体" w:hAnsi="宋体"/>
                <w:b/>
                <w:bCs/>
                <w:iCs/>
                <w:sz w:val="24"/>
                <w:szCs w:val="24"/>
              </w:rPr>
              <w:t>日期</w:t>
            </w:r>
          </w:p>
        </w:tc>
        <w:tc>
          <w:tcPr>
            <w:tcW w:w="6203" w:type="dxa"/>
          </w:tcPr>
          <w:p w14:paraId="1087953D">
            <w:pPr>
              <w:spacing w:line="360" w:lineRule="auto"/>
              <w:rPr>
                <w:rFonts w:hint="eastAsia" w:ascii="宋体" w:hAnsi="宋体"/>
                <w:bCs/>
                <w:iCs/>
                <w:sz w:val="24"/>
                <w:szCs w:val="24"/>
              </w:rPr>
            </w:pPr>
            <w:r>
              <w:rPr>
                <w:rFonts w:hint="default" w:ascii="Times New Roman" w:hAnsi="Times New Roman"/>
                <w:bCs/>
                <w:iCs/>
                <w:sz w:val="24"/>
                <w:szCs w:val="24"/>
              </w:rPr>
              <w:t>20</w:t>
            </w:r>
            <w:r>
              <w:rPr>
                <w:rFonts w:ascii="Times New Roman" w:hAnsi="Times New Roman"/>
                <w:bCs/>
                <w:iCs/>
                <w:sz w:val="24"/>
                <w:szCs w:val="24"/>
              </w:rPr>
              <w:t>2</w:t>
            </w:r>
            <w:r>
              <w:rPr>
                <w:rFonts w:hint="eastAsia"/>
                <w:bCs/>
                <w:iCs/>
                <w:sz w:val="24"/>
                <w:szCs w:val="24"/>
                <w:lang w:val="en-US" w:eastAsia="zh-CN"/>
              </w:rPr>
              <w:t>5</w:t>
            </w:r>
            <w:r>
              <w:rPr>
                <w:rFonts w:hint="default" w:ascii="Times New Roman" w:hAnsi="Times New Roman"/>
                <w:bCs/>
                <w:iCs/>
                <w:sz w:val="24"/>
                <w:szCs w:val="24"/>
              </w:rPr>
              <w:t>年</w:t>
            </w:r>
            <w:r>
              <w:rPr>
                <w:rFonts w:hint="eastAsia"/>
                <w:bCs/>
                <w:iCs/>
                <w:sz w:val="24"/>
                <w:szCs w:val="24"/>
                <w:lang w:val="en-US" w:eastAsia="zh-CN"/>
              </w:rPr>
              <w:t>6</w:t>
            </w:r>
            <w:r>
              <w:rPr>
                <w:rFonts w:hint="default" w:ascii="Times New Roman" w:hAnsi="Times New Roman"/>
                <w:bCs/>
                <w:iCs/>
                <w:sz w:val="24"/>
                <w:szCs w:val="24"/>
              </w:rPr>
              <w:t>月</w:t>
            </w:r>
            <w:r>
              <w:rPr>
                <w:rFonts w:hint="eastAsia"/>
                <w:bCs/>
                <w:iCs/>
                <w:sz w:val="24"/>
                <w:szCs w:val="24"/>
                <w:lang w:val="en-US" w:eastAsia="zh-CN"/>
              </w:rPr>
              <w:t>20</w:t>
            </w:r>
            <w:r>
              <w:rPr>
                <w:rFonts w:hint="default" w:ascii="Times New Roman" w:hAnsi="Times New Roman"/>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D49C5E"/>
    <w:multiLevelType w:val="singleLevel"/>
    <w:tmpl w:val="6AD49C5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2MTRlOTE5NzU3Y2FhZmJjMTA4ODAwNjMyZWVhZDcifQ=="/>
  </w:docVars>
  <w:rsids>
    <w:rsidRoot w:val="52FF551A"/>
    <w:rsid w:val="007C7638"/>
    <w:rsid w:val="00A06CDD"/>
    <w:rsid w:val="00BB2E0E"/>
    <w:rsid w:val="00BF064F"/>
    <w:rsid w:val="00E31C19"/>
    <w:rsid w:val="01AC06BF"/>
    <w:rsid w:val="01CC4519"/>
    <w:rsid w:val="02290130"/>
    <w:rsid w:val="0244511A"/>
    <w:rsid w:val="025F5A5E"/>
    <w:rsid w:val="026811C2"/>
    <w:rsid w:val="02BD318C"/>
    <w:rsid w:val="02DB7D7F"/>
    <w:rsid w:val="039A53E7"/>
    <w:rsid w:val="03D87218"/>
    <w:rsid w:val="042E4E66"/>
    <w:rsid w:val="051E3483"/>
    <w:rsid w:val="05537D54"/>
    <w:rsid w:val="05A32FB5"/>
    <w:rsid w:val="05BF4B6E"/>
    <w:rsid w:val="05F444DC"/>
    <w:rsid w:val="077953F5"/>
    <w:rsid w:val="07A52A97"/>
    <w:rsid w:val="08446DEB"/>
    <w:rsid w:val="09FE6266"/>
    <w:rsid w:val="0A414CDC"/>
    <w:rsid w:val="0A6D3DFC"/>
    <w:rsid w:val="0B5E16A9"/>
    <w:rsid w:val="0C1F7BAB"/>
    <w:rsid w:val="0C612D69"/>
    <w:rsid w:val="0CC92960"/>
    <w:rsid w:val="0CF81829"/>
    <w:rsid w:val="0D174ABA"/>
    <w:rsid w:val="0DBE3551"/>
    <w:rsid w:val="0DCC4700"/>
    <w:rsid w:val="0E086001"/>
    <w:rsid w:val="0EB77202"/>
    <w:rsid w:val="0F824FAF"/>
    <w:rsid w:val="0FE77118"/>
    <w:rsid w:val="11866453"/>
    <w:rsid w:val="11FF5668"/>
    <w:rsid w:val="122E5DAC"/>
    <w:rsid w:val="12527029"/>
    <w:rsid w:val="12B62932"/>
    <w:rsid w:val="12DB5893"/>
    <w:rsid w:val="134A000D"/>
    <w:rsid w:val="13CF5910"/>
    <w:rsid w:val="14451A14"/>
    <w:rsid w:val="144F54F1"/>
    <w:rsid w:val="14EC5248"/>
    <w:rsid w:val="14ED4281"/>
    <w:rsid w:val="15930D03"/>
    <w:rsid w:val="15AA2CEE"/>
    <w:rsid w:val="15B14D16"/>
    <w:rsid w:val="16761466"/>
    <w:rsid w:val="16DA51E9"/>
    <w:rsid w:val="17345A11"/>
    <w:rsid w:val="17FB3086"/>
    <w:rsid w:val="1839393F"/>
    <w:rsid w:val="190E77ED"/>
    <w:rsid w:val="1A0F1E47"/>
    <w:rsid w:val="1A2C70A7"/>
    <w:rsid w:val="1A547590"/>
    <w:rsid w:val="1AC9279C"/>
    <w:rsid w:val="1B2D550F"/>
    <w:rsid w:val="1C51DC73"/>
    <w:rsid w:val="1C524E00"/>
    <w:rsid w:val="1D0C17E5"/>
    <w:rsid w:val="1D74016F"/>
    <w:rsid w:val="1E121C15"/>
    <w:rsid w:val="1EBC241A"/>
    <w:rsid w:val="1F792F8D"/>
    <w:rsid w:val="1F983F69"/>
    <w:rsid w:val="1FAE3E0B"/>
    <w:rsid w:val="20BE1BE1"/>
    <w:rsid w:val="210274BB"/>
    <w:rsid w:val="216347EC"/>
    <w:rsid w:val="22A01C5E"/>
    <w:rsid w:val="22F83CD2"/>
    <w:rsid w:val="2362320E"/>
    <w:rsid w:val="23910C76"/>
    <w:rsid w:val="23D01B44"/>
    <w:rsid w:val="23D06D2E"/>
    <w:rsid w:val="23EB5621"/>
    <w:rsid w:val="241427AF"/>
    <w:rsid w:val="249D14E3"/>
    <w:rsid w:val="24BB0950"/>
    <w:rsid w:val="24CB30E7"/>
    <w:rsid w:val="256D51A0"/>
    <w:rsid w:val="25821C24"/>
    <w:rsid w:val="26A5400D"/>
    <w:rsid w:val="26D51ECB"/>
    <w:rsid w:val="271625E5"/>
    <w:rsid w:val="273725B6"/>
    <w:rsid w:val="27452AA5"/>
    <w:rsid w:val="29093405"/>
    <w:rsid w:val="29706363"/>
    <w:rsid w:val="29DE4401"/>
    <w:rsid w:val="2AC65169"/>
    <w:rsid w:val="2AD401BA"/>
    <w:rsid w:val="2B061EFA"/>
    <w:rsid w:val="2B9F7FE4"/>
    <w:rsid w:val="2C535356"/>
    <w:rsid w:val="2CA85D23"/>
    <w:rsid w:val="2CB67043"/>
    <w:rsid w:val="2CE05AC2"/>
    <w:rsid w:val="2D631540"/>
    <w:rsid w:val="2DCD4D3B"/>
    <w:rsid w:val="2E6F33D5"/>
    <w:rsid w:val="2EA00B62"/>
    <w:rsid w:val="2EA9018A"/>
    <w:rsid w:val="2EDE674F"/>
    <w:rsid w:val="2F4F0EF9"/>
    <w:rsid w:val="2FA368BA"/>
    <w:rsid w:val="2FFA9855"/>
    <w:rsid w:val="303D276E"/>
    <w:rsid w:val="308E0410"/>
    <w:rsid w:val="30A2064A"/>
    <w:rsid w:val="31060FA7"/>
    <w:rsid w:val="31093612"/>
    <w:rsid w:val="31BF300D"/>
    <w:rsid w:val="32A42B73"/>
    <w:rsid w:val="32D27F68"/>
    <w:rsid w:val="33231F8D"/>
    <w:rsid w:val="33260499"/>
    <w:rsid w:val="332F655B"/>
    <w:rsid w:val="33687BF4"/>
    <w:rsid w:val="337942D4"/>
    <w:rsid w:val="34D130CE"/>
    <w:rsid w:val="34E872B4"/>
    <w:rsid w:val="350D634B"/>
    <w:rsid w:val="359E7CBD"/>
    <w:rsid w:val="36952F4E"/>
    <w:rsid w:val="36B70E22"/>
    <w:rsid w:val="36D92FB2"/>
    <w:rsid w:val="37467413"/>
    <w:rsid w:val="37787510"/>
    <w:rsid w:val="381776BB"/>
    <w:rsid w:val="387520F0"/>
    <w:rsid w:val="39D2147A"/>
    <w:rsid w:val="3A8D04C3"/>
    <w:rsid w:val="3A9F5F2A"/>
    <w:rsid w:val="3B237CC2"/>
    <w:rsid w:val="3B3C7B22"/>
    <w:rsid w:val="3B7403CD"/>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DF08FB"/>
    <w:rsid w:val="46F34D6A"/>
    <w:rsid w:val="480B4BB5"/>
    <w:rsid w:val="487D4171"/>
    <w:rsid w:val="488851C9"/>
    <w:rsid w:val="489D1235"/>
    <w:rsid w:val="48E21AEF"/>
    <w:rsid w:val="4A717AA0"/>
    <w:rsid w:val="4A830B91"/>
    <w:rsid w:val="4AAF5236"/>
    <w:rsid w:val="4AB212D8"/>
    <w:rsid w:val="4B1A52D2"/>
    <w:rsid w:val="4B265D22"/>
    <w:rsid w:val="4B35552C"/>
    <w:rsid w:val="4BB85758"/>
    <w:rsid w:val="4C014C57"/>
    <w:rsid w:val="4C020555"/>
    <w:rsid w:val="4C1E0FC8"/>
    <w:rsid w:val="4C556F25"/>
    <w:rsid w:val="4C84793E"/>
    <w:rsid w:val="4D0E2637"/>
    <w:rsid w:val="4D6024B5"/>
    <w:rsid w:val="4D6378A0"/>
    <w:rsid w:val="4D9C101F"/>
    <w:rsid w:val="4DF658A7"/>
    <w:rsid w:val="4EDF2A9B"/>
    <w:rsid w:val="4EF8205F"/>
    <w:rsid w:val="4F444544"/>
    <w:rsid w:val="4FE37D9E"/>
    <w:rsid w:val="50410483"/>
    <w:rsid w:val="509818E5"/>
    <w:rsid w:val="51547108"/>
    <w:rsid w:val="51EF5E19"/>
    <w:rsid w:val="527A22D9"/>
    <w:rsid w:val="5289164F"/>
    <w:rsid w:val="52FF551A"/>
    <w:rsid w:val="53672784"/>
    <w:rsid w:val="539E26C0"/>
    <w:rsid w:val="53A91257"/>
    <w:rsid w:val="53F3326E"/>
    <w:rsid w:val="549878D9"/>
    <w:rsid w:val="54A06C67"/>
    <w:rsid w:val="54CC1D57"/>
    <w:rsid w:val="54EB364E"/>
    <w:rsid w:val="55CA28F1"/>
    <w:rsid w:val="55D26B9E"/>
    <w:rsid w:val="561D32CE"/>
    <w:rsid w:val="56AC67D2"/>
    <w:rsid w:val="5718013A"/>
    <w:rsid w:val="573622C3"/>
    <w:rsid w:val="576D5BCE"/>
    <w:rsid w:val="57A634A8"/>
    <w:rsid w:val="58836DC8"/>
    <w:rsid w:val="58BA5B76"/>
    <w:rsid w:val="599C16F8"/>
    <w:rsid w:val="5A2A67F5"/>
    <w:rsid w:val="5A4F27F0"/>
    <w:rsid w:val="5A880128"/>
    <w:rsid w:val="5AAE4583"/>
    <w:rsid w:val="5B1D47FA"/>
    <w:rsid w:val="5B205964"/>
    <w:rsid w:val="5D012421"/>
    <w:rsid w:val="5D674700"/>
    <w:rsid w:val="5DD427BF"/>
    <w:rsid w:val="5DDC2CA3"/>
    <w:rsid w:val="5DEC4365"/>
    <w:rsid w:val="5E7435BA"/>
    <w:rsid w:val="5E932ED8"/>
    <w:rsid w:val="60760873"/>
    <w:rsid w:val="60C214BD"/>
    <w:rsid w:val="60C265CF"/>
    <w:rsid w:val="611B583E"/>
    <w:rsid w:val="617862AC"/>
    <w:rsid w:val="62A30EA1"/>
    <w:rsid w:val="62F60387"/>
    <w:rsid w:val="63181F99"/>
    <w:rsid w:val="6320789A"/>
    <w:rsid w:val="63D1618C"/>
    <w:rsid w:val="64661261"/>
    <w:rsid w:val="64932BAD"/>
    <w:rsid w:val="649B4982"/>
    <w:rsid w:val="64BC0286"/>
    <w:rsid w:val="650C2A2C"/>
    <w:rsid w:val="65B7D2A7"/>
    <w:rsid w:val="65CA54AC"/>
    <w:rsid w:val="6680326B"/>
    <w:rsid w:val="669A3582"/>
    <w:rsid w:val="66F23252"/>
    <w:rsid w:val="67920D68"/>
    <w:rsid w:val="67E47875"/>
    <w:rsid w:val="681F4C63"/>
    <w:rsid w:val="68E055B0"/>
    <w:rsid w:val="69961E22"/>
    <w:rsid w:val="6A23123C"/>
    <w:rsid w:val="6A2842F5"/>
    <w:rsid w:val="6A6547A8"/>
    <w:rsid w:val="6A6B5660"/>
    <w:rsid w:val="6B685571"/>
    <w:rsid w:val="6B8F7280"/>
    <w:rsid w:val="6C3309C1"/>
    <w:rsid w:val="6D1E32A1"/>
    <w:rsid w:val="6D322B1C"/>
    <w:rsid w:val="6D9B2F52"/>
    <w:rsid w:val="6E2576AE"/>
    <w:rsid w:val="6E290AB7"/>
    <w:rsid w:val="6E4B77F4"/>
    <w:rsid w:val="6EA45979"/>
    <w:rsid w:val="6EEB2130"/>
    <w:rsid w:val="6FAD1A1F"/>
    <w:rsid w:val="700B2EC6"/>
    <w:rsid w:val="70754AA5"/>
    <w:rsid w:val="70B8083E"/>
    <w:rsid w:val="714D6AE5"/>
    <w:rsid w:val="7171086E"/>
    <w:rsid w:val="719510A4"/>
    <w:rsid w:val="71A66548"/>
    <w:rsid w:val="71C53B96"/>
    <w:rsid w:val="71FA4772"/>
    <w:rsid w:val="71FC4DEA"/>
    <w:rsid w:val="728671BF"/>
    <w:rsid w:val="72C2568A"/>
    <w:rsid w:val="72C94CD5"/>
    <w:rsid w:val="73300DA4"/>
    <w:rsid w:val="744616E9"/>
    <w:rsid w:val="745A380B"/>
    <w:rsid w:val="74A02866"/>
    <w:rsid w:val="75580D0F"/>
    <w:rsid w:val="76440F92"/>
    <w:rsid w:val="767A7C68"/>
    <w:rsid w:val="772F3652"/>
    <w:rsid w:val="779F15A2"/>
    <w:rsid w:val="77AE1328"/>
    <w:rsid w:val="77B6383C"/>
    <w:rsid w:val="77B751AF"/>
    <w:rsid w:val="77FE6C2A"/>
    <w:rsid w:val="78423920"/>
    <w:rsid w:val="78A45D63"/>
    <w:rsid w:val="792128C5"/>
    <w:rsid w:val="794D08AD"/>
    <w:rsid w:val="79661C63"/>
    <w:rsid w:val="79D25FC2"/>
    <w:rsid w:val="79EA2C4D"/>
    <w:rsid w:val="79F90BEF"/>
    <w:rsid w:val="7A4A14CB"/>
    <w:rsid w:val="7A774554"/>
    <w:rsid w:val="7A7F1400"/>
    <w:rsid w:val="7AD051DC"/>
    <w:rsid w:val="7ADB0A5E"/>
    <w:rsid w:val="7AE62B2D"/>
    <w:rsid w:val="7B28387D"/>
    <w:rsid w:val="7BA223D0"/>
    <w:rsid w:val="7C064AE8"/>
    <w:rsid w:val="7C29373A"/>
    <w:rsid w:val="7C6A3054"/>
    <w:rsid w:val="7CD54AA1"/>
    <w:rsid w:val="7CE44ECC"/>
    <w:rsid w:val="7CE571C4"/>
    <w:rsid w:val="7D0375F5"/>
    <w:rsid w:val="7D546905"/>
    <w:rsid w:val="7D6D7ABB"/>
    <w:rsid w:val="7D7234FB"/>
    <w:rsid w:val="7E4F6774"/>
    <w:rsid w:val="7F173DB2"/>
    <w:rsid w:val="7F2266A0"/>
    <w:rsid w:val="7F2E17A9"/>
    <w:rsid w:val="7FAD2049"/>
    <w:rsid w:val="7FEE7A90"/>
    <w:rsid w:val="7FEF3D0E"/>
    <w:rsid w:val="7FF23572"/>
    <w:rsid w:val="8DDB261E"/>
    <w:rsid w:val="8DFE854D"/>
    <w:rsid w:val="CEEA2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paragraph" w:customStyle="1" w:styleId="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9">
    <w:name w:val="批注文字 字符"/>
    <w:basedOn w:val="6"/>
    <w:link w:val="2"/>
    <w:qFormat/>
    <w:uiPriority w:val="0"/>
    <w:rPr>
      <w:kern w:val="2"/>
      <w:sz w:val="21"/>
    </w:rPr>
  </w:style>
  <w:style w:type="character" w:customStyle="1" w:styleId="10">
    <w:name w:val="批注主题 字符"/>
    <w:basedOn w:val="9"/>
    <w:link w:val="4"/>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3141</Words>
  <Characters>3346</Characters>
  <Lines>18</Lines>
  <Paragraphs>5</Paragraphs>
  <TotalTime>6</TotalTime>
  <ScaleCrop>false</ScaleCrop>
  <LinksUpToDate>false</LinksUpToDate>
  <CharactersWithSpaces>3421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2024-09-26T14:32:00Z</dcterms:created>
  <dc:creator>杨贵娇</dc:creator>
  <cp:lastModifiedBy>杨贵娇</cp:lastModifiedBy>
  <dcterms:modified xsi:type="dcterms:W3CDTF">2025-06-23T09:00:55Z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60A8206F6D6049F4BD1D697CA0A61495_13</vt:lpwstr>
  </property>
  <property fmtid="{D5CDD505-2E9C-101B-9397-08002B2CF9AE}" pid="4" name="KSOTemplateDocerSaveRecord">
    <vt:lpwstr>eyJoZGlkIjoiZTM2MTRlOTE5NzU3Y2FhZmJjMTA4ODAwNjMyZWVhZDciLCJ1c2VySWQiOiIzOTQyNDEyNzQifQ==</vt:lpwstr>
  </property>
</Properties>
</file>