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A3C13">
      <w:pPr>
        <w:spacing w:after="312" w:afterLines="100" w:line="400" w:lineRule="exact"/>
        <w:rPr>
          <w:b/>
          <w:bCs/>
          <w:iCs/>
          <w:color w:val="000000"/>
          <w:sz w:val="32"/>
          <w:szCs w:val="32"/>
        </w:rPr>
      </w:pPr>
      <w:r>
        <w:rPr>
          <w:b/>
          <w:bCs/>
          <w:iCs/>
          <w:color w:val="000000"/>
          <w:sz w:val="24"/>
        </w:rPr>
        <w:t xml:space="preserve">证券代码：603169                               </w:t>
      </w:r>
      <w:r>
        <w:rPr>
          <w:rFonts w:hint="eastAsia"/>
          <w:b/>
          <w:bCs/>
          <w:iCs/>
          <w:color w:val="000000"/>
          <w:sz w:val="24"/>
        </w:rPr>
        <w:t xml:space="preserve">                                    </w:t>
      </w:r>
      <w:r>
        <w:rPr>
          <w:b/>
          <w:bCs/>
          <w:iCs/>
          <w:color w:val="000000"/>
          <w:sz w:val="24"/>
        </w:rPr>
        <w:t xml:space="preserve"> 证券简称：兰石重装</w:t>
      </w:r>
    </w:p>
    <w:p w14:paraId="5D2F2338">
      <w:pPr>
        <w:spacing w:after="156" w:afterLines="50" w:line="400" w:lineRule="exact"/>
        <w:jc w:val="center"/>
        <w:rPr>
          <w:b/>
          <w:bCs/>
          <w:iCs/>
          <w:color w:val="000000"/>
          <w:sz w:val="32"/>
          <w:szCs w:val="32"/>
        </w:rPr>
      </w:pPr>
      <w:r>
        <w:rPr>
          <w:b/>
          <w:bCs/>
          <w:iCs/>
          <w:color w:val="000000"/>
          <w:sz w:val="32"/>
          <w:szCs w:val="32"/>
        </w:rPr>
        <w:t>兰州兰石重型装备股份有限公司投资者关系活动记录表</w:t>
      </w:r>
    </w:p>
    <w:p w14:paraId="28D622A8">
      <w:pPr>
        <w:spacing w:line="400" w:lineRule="exact"/>
        <w:rPr>
          <w:bCs/>
          <w:iCs/>
          <w:color w:val="000000"/>
          <w:sz w:val="24"/>
        </w:rPr>
      </w:pPr>
      <w:r>
        <w:rPr>
          <w:bCs/>
          <w:iCs/>
          <w:color w:val="000000"/>
          <w:sz w:val="24"/>
        </w:rPr>
        <w:t xml:space="preserve">                                                         202</w:t>
      </w:r>
      <w:r>
        <w:rPr>
          <w:rFonts w:hint="eastAsia"/>
          <w:bCs/>
          <w:iCs/>
          <w:color w:val="000000"/>
          <w:sz w:val="24"/>
          <w:lang w:val="en-US" w:eastAsia="zh-CN"/>
        </w:rPr>
        <w:t>5</w:t>
      </w:r>
      <w:r>
        <w:rPr>
          <w:bCs/>
          <w:iCs/>
          <w:color w:val="000000"/>
          <w:sz w:val="24"/>
        </w:rPr>
        <w:t>年</w:t>
      </w:r>
      <w:r>
        <w:rPr>
          <w:rFonts w:hint="eastAsia"/>
          <w:bCs/>
          <w:iCs/>
          <w:color w:val="000000"/>
          <w:sz w:val="24"/>
          <w:lang w:val="en-US" w:eastAsia="zh-CN"/>
        </w:rPr>
        <w:t>6</w:t>
      </w:r>
      <w:r>
        <w:rPr>
          <w:bCs/>
          <w:iCs/>
          <w:color w:val="000000"/>
          <w:sz w:val="24"/>
        </w:rPr>
        <w:t>月</w:t>
      </w:r>
      <w:r>
        <w:rPr>
          <w:rFonts w:hint="eastAsia"/>
          <w:bCs/>
          <w:iCs/>
          <w:color w:val="000000"/>
          <w:sz w:val="24"/>
          <w:lang w:val="en-US" w:eastAsia="zh-CN"/>
        </w:rPr>
        <w:t>26</w:t>
      </w:r>
      <w:r>
        <w:rPr>
          <w:bCs/>
          <w:iCs/>
          <w:color w:val="000000"/>
          <w:sz w:val="24"/>
        </w:rPr>
        <w:t>日</w:t>
      </w:r>
    </w:p>
    <w:tbl>
      <w:tblPr>
        <w:tblStyle w:val="7"/>
        <w:tblW w:w="8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751"/>
      </w:tblGrid>
      <w:tr w14:paraId="3B82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14:paraId="748A321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bCs/>
                <w:iCs/>
                <w:color w:val="000000"/>
                <w:sz w:val="24"/>
              </w:rPr>
            </w:pPr>
            <w:r>
              <w:rPr>
                <w:bCs/>
                <w:iCs/>
                <w:color w:val="000000"/>
                <w:sz w:val="24"/>
              </w:rPr>
              <w:t>投资者关系活动类别</w:t>
            </w:r>
          </w:p>
        </w:tc>
        <w:tc>
          <w:tcPr>
            <w:tcW w:w="6751" w:type="dxa"/>
          </w:tcPr>
          <w:p w14:paraId="0ED3BC9F">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bCs/>
                <w:iCs/>
                <w:color w:val="000000"/>
                <w:sz w:val="22"/>
              </w:rPr>
            </w:pPr>
            <w:r>
              <w:rPr>
                <w:rFonts w:hint="eastAsia" w:ascii="宋体" w:hAnsi="宋体"/>
                <w:bCs/>
                <w:iCs/>
                <w:color w:val="000000"/>
                <w:sz w:val="22"/>
                <w:lang w:eastAsia="zh-CN"/>
              </w:rPr>
              <w:t>☑</w:t>
            </w:r>
            <w:r>
              <w:rPr>
                <w:rFonts w:hint="eastAsia" w:ascii="宋体" w:hAnsi="宋体"/>
                <w:sz w:val="22"/>
              </w:rPr>
              <w:t xml:space="preserve">特定对象调研        </w:t>
            </w:r>
            <w:r>
              <w:rPr>
                <w:rFonts w:hint="eastAsia" w:ascii="宋体" w:hAnsi="宋体"/>
                <w:bCs/>
                <w:iCs/>
                <w:color w:val="000000"/>
                <w:sz w:val="22"/>
              </w:rPr>
              <w:t>□</w:t>
            </w:r>
            <w:r>
              <w:rPr>
                <w:rFonts w:hint="eastAsia" w:ascii="宋体" w:hAnsi="宋体"/>
                <w:sz w:val="22"/>
              </w:rPr>
              <w:t>分析师会议</w:t>
            </w:r>
          </w:p>
          <w:p w14:paraId="56183070">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bCs/>
                <w:iCs/>
                <w:color w:val="000000"/>
                <w:sz w:val="22"/>
              </w:rPr>
            </w:pPr>
            <w:r>
              <w:rPr>
                <w:rFonts w:hint="eastAsia" w:ascii="宋体" w:hAnsi="宋体"/>
                <w:bCs/>
                <w:iCs/>
                <w:color w:val="000000"/>
                <w:sz w:val="22"/>
              </w:rPr>
              <w:t>□</w:t>
            </w:r>
            <w:r>
              <w:rPr>
                <w:rFonts w:hint="eastAsia" w:ascii="宋体" w:hAnsi="宋体"/>
                <w:sz w:val="22"/>
              </w:rPr>
              <w:t xml:space="preserve">媒体采访            </w:t>
            </w:r>
            <w:r>
              <w:rPr>
                <w:rFonts w:hint="eastAsia" w:ascii="宋体" w:hAnsi="宋体"/>
                <w:bCs/>
                <w:iCs/>
                <w:color w:val="000000"/>
                <w:sz w:val="22"/>
              </w:rPr>
              <w:t>□</w:t>
            </w:r>
            <w:r>
              <w:rPr>
                <w:rFonts w:hint="eastAsia" w:ascii="宋体" w:hAnsi="宋体"/>
                <w:sz w:val="22"/>
              </w:rPr>
              <w:t>业绩说明会</w:t>
            </w:r>
          </w:p>
          <w:p w14:paraId="3D4BDA0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bCs/>
                <w:iCs/>
                <w:color w:val="000000"/>
                <w:sz w:val="22"/>
              </w:rPr>
            </w:pPr>
            <w:r>
              <w:rPr>
                <w:rFonts w:hint="eastAsia" w:ascii="宋体" w:hAnsi="宋体"/>
                <w:bCs/>
                <w:iCs/>
                <w:color w:val="000000"/>
                <w:sz w:val="22"/>
              </w:rPr>
              <w:t>□</w:t>
            </w:r>
            <w:r>
              <w:rPr>
                <w:rFonts w:hint="eastAsia" w:ascii="宋体" w:hAnsi="宋体"/>
                <w:sz w:val="22"/>
              </w:rPr>
              <w:t xml:space="preserve">新闻发布会          </w:t>
            </w:r>
            <w:r>
              <w:rPr>
                <w:rFonts w:hint="eastAsia" w:ascii="宋体" w:hAnsi="宋体"/>
                <w:bCs/>
                <w:iCs/>
                <w:color w:val="000000"/>
                <w:sz w:val="22"/>
              </w:rPr>
              <w:t>□</w:t>
            </w:r>
            <w:r>
              <w:rPr>
                <w:rFonts w:hint="eastAsia" w:ascii="宋体" w:hAnsi="宋体"/>
                <w:sz w:val="22"/>
              </w:rPr>
              <w:t>路演活动</w:t>
            </w:r>
          </w:p>
          <w:p w14:paraId="4BC02920">
            <w:pPr>
              <w:keepNext w:val="0"/>
              <w:keepLines w:val="0"/>
              <w:pageBreakBefore w:val="0"/>
              <w:widowControl w:val="0"/>
              <w:tabs>
                <w:tab w:val="left" w:pos="2580"/>
                <w:tab w:val="center" w:pos="3199"/>
              </w:tabs>
              <w:kinsoku/>
              <w:wordWrap/>
              <w:overflowPunct/>
              <w:topLinePunct w:val="0"/>
              <w:autoSpaceDE/>
              <w:autoSpaceDN/>
              <w:bidi w:val="0"/>
              <w:adjustRightInd/>
              <w:snapToGrid/>
              <w:spacing w:line="288" w:lineRule="auto"/>
              <w:textAlignment w:val="auto"/>
              <w:rPr>
                <w:rFonts w:ascii="宋体" w:hAnsi="宋体"/>
                <w:bCs/>
                <w:iCs/>
                <w:color w:val="000000"/>
                <w:sz w:val="22"/>
              </w:rPr>
            </w:pPr>
            <w:r>
              <w:rPr>
                <w:rFonts w:hint="eastAsia" w:ascii="宋体" w:hAnsi="宋体"/>
                <w:bCs/>
                <w:iCs/>
                <w:color w:val="000000"/>
                <w:sz w:val="22"/>
              </w:rPr>
              <w:t>□</w:t>
            </w:r>
            <w:r>
              <w:rPr>
                <w:rFonts w:hint="eastAsia" w:ascii="宋体" w:hAnsi="宋体"/>
                <w:sz w:val="22"/>
              </w:rPr>
              <w:t xml:space="preserve">现场参观            </w:t>
            </w:r>
            <w:r>
              <w:rPr>
                <w:rFonts w:hint="eastAsia" w:ascii="宋体" w:hAnsi="宋体"/>
                <w:bCs/>
                <w:iCs/>
                <w:color w:val="000000"/>
                <w:sz w:val="22"/>
                <w:lang w:eastAsia="zh-CN"/>
              </w:rPr>
              <w:t>□</w:t>
            </w:r>
            <w:r>
              <w:rPr>
                <w:rFonts w:hint="eastAsia" w:ascii="宋体" w:hAnsi="宋体"/>
                <w:sz w:val="22"/>
              </w:rPr>
              <w:t>一对一沟通</w:t>
            </w:r>
          </w:p>
          <w:p w14:paraId="52FB6468">
            <w:pPr>
              <w:keepNext w:val="0"/>
              <w:keepLines w:val="0"/>
              <w:pageBreakBefore w:val="0"/>
              <w:widowControl w:val="0"/>
              <w:tabs>
                <w:tab w:val="center" w:pos="3199"/>
              </w:tabs>
              <w:kinsoku/>
              <w:wordWrap/>
              <w:overflowPunct/>
              <w:topLinePunct w:val="0"/>
              <w:autoSpaceDE/>
              <w:autoSpaceDN/>
              <w:bidi w:val="0"/>
              <w:adjustRightInd/>
              <w:snapToGrid/>
              <w:spacing w:line="288" w:lineRule="auto"/>
              <w:textAlignment w:val="auto"/>
              <w:rPr>
                <w:bCs/>
                <w:iCs/>
                <w:color w:val="000000"/>
                <w:sz w:val="24"/>
              </w:rPr>
            </w:pPr>
            <w:r>
              <w:rPr>
                <w:rFonts w:hint="eastAsia" w:ascii="宋体" w:hAnsi="宋体"/>
                <w:bCs/>
                <w:iCs/>
                <w:color w:val="000000"/>
                <w:sz w:val="22"/>
              </w:rPr>
              <w:t>□</w:t>
            </w:r>
            <w:r>
              <w:rPr>
                <w:rFonts w:hint="eastAsia" w:ascii="宋体" w:hAnsi="宋体"/>
                <w:sz w:val="22"/>
              </w:rPr>
              <w:t>其他（请文字说明其他活动内容）</w:t>
            </w:r>
          </w:p>
        </w:tc>
      </w:tr>
      <w:tr w14:paraId="0999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701" w:type="dxa"/>
            <w:vAlign w:val="center"/>
          </w:tcPr>
          <w:p w14:paraId="499D59C6">
            <w:pPr>
              <w:keepNext w:val="0"/>
              <w:keepLines w:val="0"/>
              <w:pageBreakBefore w:val="0"/>
              <w:widowControl w:val="0"/>
              <w:kinsoku/>
              <w:wordWrap/>
              <w:overflowPunct/>
              <w:topLinePunct w:val="0"/>
              <w:autoSpaceDE/>
              <w:autoSpaceDN/>
              <w:bidi w:val="0"/>
              <w:adjustRightInd/>
              <w:spacing w:line="288" w:lineRule="auto"/>
              <w:jc w:val="center"/>
              <w:textAlignment w:val="auto"/>
              <w:rPr>
                <w:bCs/>
                <w:iCs/>
                <w:color w:val="000000"/>
                <w:sz w:val="24"/>
              </w:rPr>
            </w:pPr>
            <w:r>
              <w:rPr>
                <w:bCs/>
                <w:iCs/>
                <w:color w:val="000000"/>
                <w:sz w:val="24"/>
              </w:rPr>
              <w:t>参与单位名称及人员姓名</w:t>
            </w:r>
          </w:p>
        </w:tc>
        <w:tc>
          <w:tcPr>
            <w:tcW w:w="6751" w:type="dxa"/>
            <w:vAlign w:val="center"/>
          </w:tcPr>
          <w:p w14:paraId="01A390B8">
            <w:pPr>
              <w:spacing w:line="360" w:lineRule="auto"/>
              <w:jc w:val="left"/>
              <w:rPr>
                <w:rFonts w:hint="default" w:eastAsia="楷体"/>
                <w:bCs/>
                <w:iCs/>
                <w:color w:val="000000"/>
                <w:sz w:val="24"/>
                <w:lang w:val="en-US" w:eastAsia="zh-CN"/>
              </w:rPr>
            </w:pPr>
            <w:r>
              <w:rPr>
                <w:rFonts w:hint="eastAsia"/>
                <w:bCs/>
                <w:iCs/>
                <w:color w:val="000000"/>
                <w:sz w:val="24"/>
              </w:rPr>
              <w:t>3W投资</w:t>
            </w:r>
            <w:r>
              <w:rPr>
                <w:rFonts w:hint="eastAsia"/>
                <w:bCs/>
                <w:iCs/>
                <w:color w:val="000000"/>
                <w:sz w:val="24"/>
                <w:lang w:eastAsia="zh-CN"/>
              </w:rPr>
              <w:t>：</w:t>
            </w:r>
            <w:r>
              <w:rPr>
                <w:rFonts w:hint="eastAsia" w:ascii="楷体" w:hAnsi="楷体" w:eastAsia="楷体" w:cs="楷体"/>
                <w:bCs/>
                <w:iCs/>
                <w:color w:val="000000"/>
                <w:sz w:val="24"/>
              </w:rPr>
              <w:t>刘思蒙</w:t>
            </w:r>
            <w:r>
              <w:rPr>
                <w:rFonts w:hint="eastAsia"/>
                <w:bCs/>
                <w:iCs/>
                <w:color w:val="000000"/>
                <w:sz w:val="24"/>
              </w:rPr>
              <w:t>；长信基金</w:t>
            </w:r>
            <w:r>
              <w:rPr>
                <w:rFonts w:hint="eastAsia"/>
                <w:bCs/>
                <w:iCs/>
                <w:color w:val="000000"/>
                <w:sz w:val="24"/>
                <w:lang w:eastAsia="zh-CN"/>
              </w:rPr>
              <w:t>：</w:t>
            </w:r>
            <w:r>
              <w:rPr>
                <w:rFonts w:hint="eastAsia" w:ascii="楷体" w:hAnsi="楷体" w:eastAsia="楷体" w:cs="楷体"/>
                <w:bCs/>
                <w:iCs/>
                <w:color w:val="000000"/>
                <w:sz w:val="24"/>
              </w:rPr>
              <w:t>刘曦明、陈言午</w:t>
            </w:r>
            <w:r>
              <w:rPr>
                <w:rFonts w:hint="eastAsia" w:ascii="楷体" w:hAnsi="楷体" w:eastAsia="楷体" w:cs="楷体"/>
                <w:bCs/>
                <w:iCs/>
                <w:color w:val="000000"/>
                <w:sz w:val="24"/>
                <w:lang w:eastAsia="zh-CN"/>
              </w:rPr>
              <w:t>；</w:t>
            </w:r>
          </w:p>
        </w:tc>
      </w:tr>
      <w:tr w14:paraId="4D89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1" w:type="dxa"/>
            <w:vAlign w:val="center"/>
          </w:tcPr>
          <w:p w14:paraId="49E6BEB2">
            <w:pPr>
              <w:keepNext w:val="0"/>
              <w:keepLines w:val="0"/>
              <w:pageBreakBefore w:val="0"/>
              <w:widowControl w:val="0"/>
              <w:kinsoku/>
              <w:wordWrap/>
              <w:overflowPunct/>
              <w:topLinePunct w:val="0"/>
              <w:autoSpaceDE/>
              <w:autoSpaceDN/>
              <w:bidi w:val="0"/>
              <w:adjustRightInd/>
              <w:spacing w:line="288" w:lineRule="auto"/>
              <w:jc w:val="center"/>
              <w:textAlignment w:val="auto"/>
              <w:rPr>
                <w:bCs/>
                <w:iCs/>
                <w:color w:val="000000"/>
                <w:sz w:val="24"/>
              </w:rPr>
            </w:pPr>
            <w:r>
              <w:rPr>
                <w:bCs/>
                <w:iCs/>
                <w:color w:val="000000"/>
                <w:sz w:val="24"/>
              </w:rPr>
              <w:t>时间</w:t>
            </w:r>
          </w:p>
        </w:tc>
        <w:tc>
          <w:tcPr>
            <w:tcW w:w="6751" w:type="dxa"/>
            <w:vAlign w:val="center"/>
          </w:tcPr>
          <w:p w14:paraId="4C724515">
            <w:pPr>
              <w:spacing w:line="360" w:lineRule="auto"/>
              <w:jc w:val="left"/>
              <w:rPr>
                <w:bCs/>
                <w:iCs/>
                <w:color w:val="000000"/>
                <w:sz w:val="24"/>
              </w:rPr>
            </w:pPr>
            <w:r>
              <w:rPr>
                <w:bCs/>
                <w:iCs/>
                <w:color w:val="000000"/>
                <w:sz w:val="24"/>
              </w:rPr>
              <w:t>202</w:t>
            </w:r>
            <w:r>
              <w:rPr>
                <w:rFonts w:hint="eastAsia"/>
                <w:bCs/>
                <w:iCs/>
                <w:color w:val="000000"/>
                <w:sz w:val="24"/>
                <w:lang w:val="en-US" w:eastAsia="zh-CN"/>
              </w:rPr>
              <w:t>5</w:t>
            </w:r>
            <w:r>
              <w:rPr>
                <w:bCs/>
                <w:iCs/>
                <w:color w:val="000000"/>
                <w:sz w:val="24"/>
              </w:rPr>
              <w:t>年</w:t>
            </w:r>
            <w:r>
              <w:rPr>
                <w:rFonts w:hint="eastAsia"/>
                <w:bCs/>
                <w:iCs/>
                <w:color w:val="000000"/>
                <w:sz w:val="24"/>
                <w:lang w:val="en-US" w:eastAsia="zh-CN"/>
              </w:rPr>
              <w:t>6</w:t>
            </w:r>
            <w:r>
              <w:rPr>
                <w:bCs/>
                <w:iCs/>
                <w:color w:val="000000"/>
                <w:sz w:val="24"/>
              </w:rPr>
              <w:t>月</w:t>
            </w:r>
            <w:r>
              <w:rPr>
                <w:rFonts w:hint="eastAsia"/>
                <w:bCs/>
                <w:iCs/>
                <w:color w:val="000000"/>
                <w:sz w:val="24"/>
                <w:lang w:val="en-US" w:eastAsia="zh-CN"/>
              </w:rPr>
              <w:t>26</w:t>
            </w:r>
            <w:r>
              <w:rPr>
                <w:bCs/>
                <w:iCs/>
                <w:color w:val="000000"/>
                <w:sz w:val="24"/>
              </w:rPr>
              <w:t>日</w:t>
            </w:r>
          </w:p>
        </w:tc>
      </w:tr>
      <w:tr w14:paraId="664A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701" w:type="dxa"/>
            <w:vAlign w:val="center"/>
          </w:tcPr>
          <w:p w14:paraId="5FCC938F">
            <w:pPr>
              <w:keepNext w:val="0"/>
              <w:keepLines w:val="0"/>
              <w:pageBreakBefore w:val="0"/>
              <w:widowControl w:val="0"/>
              <w:kinsoku/>
              <w:wordWrap/>
              <w:overflowPunct/>
              <w:topLinePunct w:val="0"/>
              <w:autoSpaceDE/>
              <w:autoSpaceDN/>
              <w:bidi w:val="0"/>
              <w:adjustRightInd/>
              <w:spacing w:line="288" w:lineRule="auto"/>
              <w:jc w:val="center"/>
              <w:textAlignment w:val="auto"/>
              <w:rPr>
                <w:bCs/>
                <w:iCs/>
                <w:color w:val="000000"/>
                <w:sz w:val="24"/>
              </w:rPr>
            </w:pPr>
            <w:r>
              <w:rPr>
                <w:bCs/>
                <w:iCs/>
                <w:color w:val="000000"/>
                <w:sz w:val="24"/>
              </w:rPr>
              <w:t>地点</w:t>
            </w:r>
          </w:p>
        </w:tc>
        <w:tc>
          <w:tcPr>
            <w:tcW w:w="6751" w:type="dxa"/>
            <w:vAlign w:val="center"/>
          </w:tcPr>
          <w:p w14:paraId="3CA735A4">
            <w:pPr>
              <w:spacing w:line="360" w:lineRule="auto"/>
              <w:jc w:val="left"/>
              <w:rPr>
                <w:bCs/>
                <w:iCs/>
                <w:color w:val="000000"/>
                <w:sz w:val="24"/>
              </w:rPr>
            </w:pPr>
            <w:r>
              <w:rPr>
                <w:rFonts w:hint="eastAsia"/>
                <w:bCs/>
                <w:iCs/>
                <w:color w:val="000000"/>
                <w:sz w:val="24"/>
              </w:rPr>
              <w:t>线上会议</w:t>
            </w:r>
          </w:p>
        </w:tc>
      </w:tr>
      <w:tr w14:paraId="1078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01" w:type="dxa"/>
            <w:vAlign w:val="center"/>
          </w:tcPr>
          <w:p w14:paraId="1719D4E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bCs/>
                <w:iCs/>
                <w:color w:val="000000"/>
                <w:sz w:val="24"/>
              </w:rPr>
            </w:pPr>
            <w:r>
              <w:rPr>
                <w:bCs/>
                <w:iCs/>
                <w:color w:val="000000"/>
                <w:sz w:val="24"/>
              </w:rPr>
              <w:t>上市公司</w:t>
            </w:r>
          </w:p>
          <w:p w14:paraId="719FF08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bCs/>
                <w:iCs/>
                <w:color w:val="000000"/>
                <w:sz w:val="24"/>
              </w:rPr>
            </w:pPr>
            <w:r>
              <w:rPr>
                <w:bCs/>
                <w:iCs/>
                <w:color w:val="000000"/>
                <w:sz w:val="24"/>
              </w:rPr>
              <w:t>接待人员</w:t>
            </w:r>
          </w:p>
        </w:tc>
        <w:tc>
          <w:tcPr>
            <w:tcW w:w="6751" w:type="dxa"/>
            <w:vAlign w:val="center"/>
          </w:tcPr>
          <w:p w14:paraId="725FF154">
            <w:pPr>
              <w:snapToGrid w:val="0"/>
              <w:spacing w:line="360" w:lineRule="auto"/>
              <w:jc w:val="left"/>
              <w:rPr>
                <w:bCs/>
                <w:iCs/>
                <w:color w:val="000000"/>
                <w:sz w:val="24"/>
              </w:rPr>
            </w:pPr>
            <w:r>
              <w:rPr>
                <w:rFonts w:hint="eastAsia"/>
                <w:bCs/>
                <w:iCs/>
                <w:color w:val="000000"/>
                <w:sz w:val="24"/>
              </w:rPr>
              <w:t>董事会秘书武锐锐</w:t>
            </w:r>
          </w:p>
        </w:tc>
      </w:tr>
      <w:tr w14:paraId="5F4B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14:paraId="04B2D9DA">
            <w:pPr>
              <w:spacing w:line="360" w:lineRule="auto"/>
              <w:jc w:val="center"/>
              <w:rPr>
                <w:bCs/>
                <w:iCs/>
                <w:color w:val="000000"/>
                <w:sz w:val="24"/>
              </w:rPr>
            </w:pPr>
            <w:r>
              <w:rPr>
                <w:bCs/>
                <w:iCs/>
                <w:color w:val="000000"/>
                <w:sz w:val="24"/>
              </w:rPr>
              <w:t>投资者关系活动主要内容介绍</w:t>
            </w:r>
          </w:p>
        </w:tc>
        <w:tc>
          <w:tcPr>
            <w:tcW w:w="6751" w:type="dxa"/>
            <w:vAlign w:val="center"/>
          </w:tcPr>
          <w:p w14:paraId="78E2113C">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outlineLvl w:val="0"/>
              <w:rPr>
                <w:rFonts w:hint="default" w:ascii="宋体" w:hAnsi="宋体" w:eastAsia="宋体"/>
                <w:b/>
                <w:sz w:val="24"/>
                <w:lang w:val="en-US" w:eastAsia="zh-CN"/>
              </w:rPr>
            </w:pPr>
            <w:r>
              <w:rPr>
                <w:rFonts w:hint="eastAsia" w:ascii="宋体" w:hAnsi="宋体"/>
                <w:b/>
                <w:sz w:val="24"/>
              </w:rPr>
              <w:t>一</w:t>
            </w:r>
            <w:r>
              <w:rPr>
                <w:rFonts w:ascii="宋体" w:hAnsi="宋体"/>
                <w:b/>
                <w:sz w:val="24"/>
              </w:rPr>
              <w:t>、</w:t>
            </w:r>
            <w:r>
              <w:rPr>
                <w:rFonts w:hint="eastAsia" w:ascii="宋体" w:hAnsi="宋体"/>
                <w:b/>
                <w:sz w:val="24"/>
              </w:rPr>
              <w:t>公司</w:t>
            </w:r>
            <w:r>
              <w:rPr>
                <w:rFonts w:hint="eastAsia" w:ascii="宋体" w:hAnsi="宋体"/>
                <w:b/>
                <w:sz w:val="24"/>
                <w:lang w:val="en-US" w:eastAsia="zh-CN"/>
              </w:rPr>
              <w:t>主要业务及经营情况介绍</w:t>
            </w:r>
          </w:p>
          <w:p w14:paraId="3E0CD2A8">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0"/>
              <w:rPr>
                <w:rFonts w:hint="eastAsia"/>
                <w:sz w:val="24"/>
              </w:rPr>
            </w:pPr>
            <w:r>
              <w:rPr>
                <w:rFonts w:hint="eastAsia"/>
                <w:sz w:val="24"/>
              </w:rPr>
              <w:t>公司的业务板块涵盖能源装备制造、技术服务、工程总包、金属新材料四大领域。公司为客户提供从设计、制造、安装、调试到运维的全方位服务，满足客户在不同阶段的需求。在能源装备制造方面，公司拥有先进的生产设备和工艺技术；在技术服务方面，公司提供专业化的技术解决方案和咨询服务；在工程总包方面，公司具备丰富的工程项目管理经验和实力；在金属新材料方面，公司致力于研发和应用高性能、环保的新型金属材料。</w:t>
            </w:r>
          </w:p>
          <w:p w14:paraId="4625FAE4">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0"/>
              <w:rPr>
                <w:sz w:val="24"/>
              </w:rPr>
            </w:pPr>
            <w:r>
              <w:rPr>
                <w:rFonts w:hint="eastAsia"/>
                <w:sz w:val="24"/>
              </w:rPr>
              <w:t>2024年度，公司实现营业收入57.91亿元，同比增长12.18%；归属于上市公司股东的净利润1.56亿元，同比增长1.59%。2025年第一季度，公司实现营业收入14.12亿元，同比增长52.30%，归属于上市公司股东的净利润1,454.56万元，同比减少56.08%。</w:t>
            </w:r>
          </w:p>
          <w:p w14:paraId="03F5DF9C">
            <w:pPr>
              <w:keepNext w:val="0"/>
              <w:keepLines w:val="0"/>
              <w:pageBreakBefore w:val="0"/>
              <w:widowControl w:val="0"/>
              <w:numPr>
                <w:ilvl w:val="0"/>
                <w:numId w:val="1"/>
              </w:numPr>
              <w:kinsoku/>
              <w:wordWrap/>
              <w:overflowPunct/>
              <w:topLinePunct w:val="0"/>
              <w:autoSpaceDE/>
              <w:autoSpaceDN/>
              <w:bidi w:val="0"/>
              <w:adjustRightInd/>
              <w:snapToGrid/>
              <w:spacing w:line="336" w:lineRule="auto"/>
              <w:ind w:firstLine="482" w:firstLineChars="200"/>
              <w:textAlignment w:val="auto"/>
              <w:outlineLvl w:val="0"/>
              <w:rPr>
                <w:rFonts w:ascii="宋体" w:hAnsi="宋体"/>
                <w:b/>
                <w:sz w:val="24"/>
              </w:rPr>
            </w:pPr>
            <w:r>
              <w:rPr>
                <w:rFonts w:hint="eastAsia" w:ascii="宋体" w:hAnsi="宋体"/>
                <w:b/>
                <w:sz w:val="24"/>
              </w:rPr>
              <w:t>提问交流环节</w:t>
            </w:r>
          </w:p>
          <w:p w14:paraId="4D36809E">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outlineLvl w:val="0"/>
              <w:rPr>
                <w:rFonts w:hint="eastAsia"/>
                <w:b/>
                <w:bCs/>
                <w:sz w:val="24"/>
                <w:lang w:val="en-US" w:eastAsia="zh-CN"/>
              </w:rPr>
            </w:pPr>
            <w:r>
              <w:rPr>
                <w:b/>
                <w:bCs/>
                <w:sz w:val="24"/>
              </w:rPr>
              <w:t>问题1：</w:t>
            </w:r>
            <w:r>
              <w:rPr>
                <w:rFonts w:hint="eastAsia"/>
                <w:b/>
                <w:bCs/>
                <w:sz w:val="24"/>
                <w:lang w:val="en-US" w:eastAsia="zh-CN"/>
              </w:rPr>
              <w:t>公司在核能装备产业链有哪些布局，业绩如何？</w:t>
            </w:r>
          </w:p>
          <w:p w14:paraId="5D7F2E5D">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0"/>
              <w:rPr>
                <w:rFonts w:hint="eastAsia"/>
                <w:b w:val="0"/>
                <w:bCs w:val="0"/>
                <w:sz w:val="24"/>
                <w:lang w:val="en-US" w:eastAsia="zh-CN"/>
              </w:rPr>
            </w:pPr>
            <w:r>
              <w:rPr>
                <w:rFonts w:hint="eastAsia"/>
                <w:sz w:val="24"/>
                <w:lang w:val="en-US" w:eastAsia="zh-CN"/>
              </w:rPr>
              <w:t>在核能装备领域，</w:t>
            </w:r>
            <w:r>
              <w:rPr>
                <w:rFonts w:hint="eastAsia"/>
                <w:b w:val="0"/>
                <w:bCs w:val="0"/>
                <w:sz w:val="24"/>
                <w:lang w:val="en-US" w:eastAsia="zh-CN"/>
              </w:rPr>
              <w:t>公司</w:t>
            </w:r>
            <w:r>
              <w:rPr>
                <w:rFonts w:hint="default"/>
                <w:b w:val="0"/>
                <w:bCs w:val="0"/>
                <w:sz w:val="24"/>
                <w:lang w:val="en-US" w:eastAsia="zh-CN"/>
              </w:rPr>
              <w:t>核能产品覆盖从上游核燃料领域装备，中游核电站装备，到下游核乏燃料循环、核环保装备的核能装备全产业链。</w:t>
            </w:r>
            <w:r>
              <w:rPr>
                <w:rFonts w:hint="eastAsia"/>
                <w:b w:val="0"/>
                <w:bCs w:val="0"/>
                <w:sz w:val="24"/>
                <w:lang w:val="en-US" w:eastAsia="zh-CN"/>
              </w:rPr>
              <w:t>公司拥有一类放射性物品运输容器制造许可证、民用核安全设备制造许可证等多个核领域资质证书并培育了一支近200名核级焊工及核级无损检测持证人员的专业队伍。2024年，公司核能市场开拓取得积极成效，全年新增订单6.77亿元，同比增长31.05%。</w:t>
            </w:r>
          </w:p>
          <w:p w14:paraId="6B792DF7">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outlineLvl w:val="0"/>
              <w:rPr>
                <w:rFonts w:hint="eastAsia"/>
                <w:b/>
                <w:bCs/>
                <w:sz w:val="24"/>
                <w:lang w:val="en-US" w:eastAsia="zh-CN"/>
              </w:rPr>
            </w:pPr>
            <w:r>
              <w:rPr>
                <w:rFonts w:hint="eastAsia"/>
                <w:b/>
                <w:bCs/>
                <w:sz w:val="24"/>
                <w:lang w:val="en-US" w:eastAsia="zh-CN"/>
              </w:rPr>
              <w:t>问题2：公司哪些产品应用于核聚变领域，未来在核聚变领域有何布局？</w:t>
            </w:r>
          </w:p>
          <w:p w14:paraId="5F5F379B">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0"/>
              <w:rPr>
                <w:rFonts w:hint="default"/>
                <w:b w:val="0"/>
                <w:bCs w:val="0"/>
                <w:sz w:val="24"/>
                <w:lang w:val="en-US" w:eastAsia="zh-CN"/>
              </w:rPr>
            </w:pPr>
            <w:r>
              <w:rPr>
                <w:rFonts w:hint="eastAsia"/>
                <w:b w:val="0"/>
                <w:bCs w:val="0"/>
                <w:sz w:val="24"/>
                <w:lang w:val="en-US" w:eastAsia="zh-CN"/>
              </w:rPr>
              <w:t>公司的</w:t>
            </w:r>
            <w:r>
              <w:rPr>
                <w:rFonts w:hint="default"/>
                <w:b w:val="0"/>
                <w:bCs w:val="0"/>
                <w:sz w:val="24"/>
                <w:lang w:val="en-US" w:eastAsia="zh-CN"/>
              </w:rPr>
              <w:t>新型（微通道）高效紧凑型焊接式热交换器应用核聚变领域</w:t>
            </w:r>
            <w:r>
              <w:rPr>
                <w:rFonts w:hint="eastAsia"/>
                <w:b w:val="0"/>
                <w:bCs w:val="0"/>
                <w:sz w:val="24"/>
                <w:lang w:val="en-US" w:eastAsia="zh-CN"/>
              </w:rPr>
              <w:t>。未来公司将加强与核工业西南物理研究院、中国科学院合肥物质科学研究院等离子体物理研究所等研究院的合作，将聚变堆装备作为核能装备产业发展的重要目标。</w:t>
            </w:r>
          </w:p>
          <w:p w14:paraId="38805D31">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outlineLvl w:val="0"/>
              <w:rPr>
                <w:rFonts w:hint="eastAsia"/>
                <w:b/>
                <w:bCs/>
                <w:sz w:val="24"/>
                <w:lang w:val="en-US" w:eastAsia="zh-CN"/>
              </w:rPr>
            </w:pPr>
            <w:r>
              <w:rPr>
                <w:rFonts w:hint="eastAsia"/>
                <w:b/>
                <w:bCs/>
                <w:sz w:val="24"/>
                <w:lang w:val="en-US" w:eastAsia="zh-CN"/>
              </w:rPr>
              <w:t>问题3：公司在氢能领域产品市场地位及竞争优势是什么？</w:t>
            </w:r>
          </w:p>
          <w:p w14:paraId="040E4D31">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0"/>
              <w:rPr>
                <w:rFonts w:hint="default"/>
                <w:b w:val="0"/>
                <w:bCs w:val="0"/>
                <w:sz w:val="24"/>
                <w:lang w:val="en-US" w:eastAsia="zh-CN"/>
              </w:rPr>
            </w:pPr>
            <w:r>
              <w:rPr>
                <w:rFonts w:hint="default"/>
                <w:b w:val="0"/>
                <w:bCs w:val="0"/>
                <w:sz w:val="24"/>
                <w:lang w:val="en-US" w:eastAsia="zh-CN"/>
              </w:rPr>
              <w:t>在氢能装备领域，公司布局“制、储、输、用（加）”氢能产业，现已制造质子交换膜电解（PEM）制氢装置、碱性电解水制氢装置、全系列低中压储氢容器、微通道换热器（PCHE）等产品，是国内少数研制98Mpa高压气态系列储氢容器的企业，相关制氢储氢装备已经在绿氢一体化项目中实现推广应用，公司氢能领域相关产品基本涵盖氢能全产业链。</w:t>
            </w:r>
          </w:p>
          <w:p w14:paraId="77DE8AD0">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outlineLvl w:val="0"/>
              <w:rPr>
                <w:rFonts w:hint="eastAsia"/>
                <w:b/>
                <w:bCs/>
                <w:sz w:val="24"/>
                <w:lang w:val="en-US" w:eastAsia="zh-CN"/>
              </w:rPr>
            </w:pPr>
            <w:r>
              <w:rPr>
                <w:rFonts w:hint="eastAsia"/>
                <w:b/>
                <w:bCs/>
                <w:sz w:val="24"/>
                <w:lang w:val="en-US" w:eastAsia="zh-CN"/>
              </w:rPr>
              <w:t>问题4：请简要介绍公司传统化工能源装备制造业务情况及未来的发展战略。</w:t>
            </w:r>
          </w:p>
          <w:p w14:paraId="2E7CB9C1">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0"/>
              <w:rPr>
                <w:rFonts w:hint="default"/>
                <w:b/>
                <w:bCs/>
                <w:sz w:val="24"/>
                <w:lang w:val="en-US" w:eastAsia="zh-CN"/>
              </w:rPr>
            </w:pPr>
            <w:r>
              <w:rPr>
                <w:rFonts w:hint="default"/>
                <w:b w:val="0"/>
                <w:bCs w:val="0"/>
                <w:sz w:val="24"/>
                <w:lang w:val="en-US" w:eastAsia="zh-CN"/>
              </w:rPr>
              <w:t>公司传统化工能源装备制造业务主要包括石油化工装备制造业务以及煤化工装备制造业务。未来</w:t>
            </w:r>
            <w:r>
              <w:rPr>
                <w:rFonts w:hint="eastAsia"/>
                <w:b w:val="0"/>
                <w:bCs w:val="0"/>
                <w:sz w:val="24"/>
                <w:lang w:val="en-US" w:eastAsia="zh-CN"/>
              </w:rPr>
              <w:t>在</w:t>
            </w:r>
            <w:r>
              <w:rPr>
                <w:rFonts w:hint="default"/>
                <w:b w:val="0"/>
                <w:bCs w:val="0"/>
                <w:sz w:val="24"/>
                <w:lang w:val="en-US" w:eastAsia="zh-CN"/>
              </w:rPr>
              <w:t>国家“两重”“两新”</w:t>
            </w:r>
            <w:bookmarkStart w:id="0" w:name="_GoBack"/>
            <w:bookmarkEnd w:id="0"/>
            <w:r>
              <w:rPr>
                <w:rFonts w:hint="default"/>
                <w:b w:val="0"/>
                <w:bCs w:val="0"/>
                <w:sz w:val="24"/>
                <w:lang w:val="en-US" w:eastAsia="zh-CN"/>
              </w:rPr>
              <w:t>以及能源清洁高效利用技术等国家政策机遇的引导下，公司将加强精细化工、新型煤化工产品及工艺的自主开发能力和成套设备系统的集成能力，积极开拓石化设备更新、精细化工以及新型煤化工市场。</w:t>
            </w:r>
            <w:r>
              <w:rPr>
                <w:rFonts w:hint="eastAsia"/>
                <w:b w:val="0"/>
                <w:bCs w:val="0"/>
                <w:sz w:val="24"/>
                <w:lang w:val="en-US" w:eastAsia="zh-CN"/>
              </w:rPr>
              <w:t>稳住传统能源装备基本盘，推动公司高质量、可持续发展。</w:t>
            </w:r>
          </w:p>
        </w:tc>
      </w:tr>
      <w:tr w14:paraId="2AF3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01" w:type="dxa"/>
            <w:vAlign w:val="center"/>
          </w:tcPr>
          <w:p w14:paraId="2F111554">
            <w:pPr>
              <w:spacing w:line="360" w:lineRule="auto"/>
              <w:jc w:val="center"/>
              <w:rPr>
                <w:bCs/>
                <w:iCs/>
                <w:color w:val="000000"/>
                <w:sz w:val="24"/>
              </w:rPr>
            </w:pPr>
            <w:r>
              <w:rPr>
                <w:bCs/>
                <w:iCs/>
                <w:color w:val="000000"/>
                <w:sz w:val="24"/>
              </w:rPr>
              <w:t>附件清单</w:t>
            </w:r>
          </w:p>
        </w:tc>
        <w:tc>
          <w:tcPr>
            <w:tcW w:w="6751" w:type="dxa"/>
            <w:vAlign w:val="center"/>
          </w:tcPr>
          <w:p w14:paraId="78EBC426">
            <w:pPr>
              <w:spacing w:line="360" w:lineRule="auto"/>
              <w:jc w:val="center"/>
              <w:rPr>
                <w:bCs/>
                <w:iCs/>
                <w:color w:val="000000"/>
                <w:sz w:val="24"/>
              </w:rPr>
            </w:pPr>
            <w:r>
              <w:rPr>
                <w:bCs/>
                <w:iCs/>
                <w:color w:val="000000"/>
                <w:sz w:val="24"/>
              </w:rPr>
              <w:t>无</w:t>
            </w:r>
          </w:p>
        </w:tc>
      </w:tr>
      <w:tr w14:paraId="3A65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701" w:type="dxa"/>
            <w:vAlign w:val="center"/>
          </w:tcPr>
          <w:p w14:paraId="21FE3653">
            <w:pPr>
              <w:spacing w:line="360" w:lineRule="auto"/>
              <w:jc w:val="center"/>
              <w:rPr>
                <w:bCs/>
                <w:iCs/>
                <w:color w:val="000000"/>
                <w:sz w:val="24"/>
              </w:rPr>
            </w:pPr>
            <w:r>
              <w:rPr>
                <w:bCs/>
                <w:iCs/>
                <w:color w:val="000000"/>
                <w:sz w:val="24"/>
              </w:rPr>
              <w:t>日期</w:t>
            </w:r>
          </w:p>
        </w:tc>
        <w:tc>
          <w:tcPr>
            <w:tcW w:w="6751" w:type="dxa"/>
            <w:vAlign w:val="center"/>
          </w:tcPr>
          <w:p w14:paraId="2C2DB8D6">
            <w:pPr>
              <w:spacing w:line="360" w:lineRule="auto"/>
              <w:jc w:val="center"/>
              <w:rPr>
                <w:bCs/>
                <w:iCs/>
                <w:color w:val="000000"/>
                <w:sz w:val="24"/>
              </w:rPr>
            </w:pPr>
            <w:r>
              <w:rPr>
                <w:bCs/>
                <w:iCs/>
                <w:color w:val="000000"/>
                <w:sz w:val="24"/>
              </w:rPr>
              <w:t>202</w:t>
            </w:r>
            <w:r>
              <w:rPr>
                <w:rFonts w:hint="eastAsia"/>
                <w:bCs/>
                <w:iCs/>
                <w:color w:val="000000"/>
                <w:sz w:val="24"/>
                <w:lang w:val="en-US" w:eastAsia="zh-CN"/>
              </w:rPr>
              <w:t>5</w:t>
            </w:r>
            <w:r>
              <w:rPr>
                <w:bCs/>
                <w:iCs/>
                <w:color w:val="000000"/>
                <w:sz w:val="24"/>
              </w:rPr>
              <w:t>年</w:t>
            </w:r>
            <w:r>
              <w:rPr>
                <w:rFonts w:hint="eastAsia"/>
                <w:bCs/>
                <w:iCs/>
                <w:color w:val="000000"/>
                <w:sz w:val="24"/>
                <w:lang w:val="en-US" w:eastAsia="zh-CN"/>
              </w:rPr>
              <w:t>6</w:t>
            </w:r>
            <w:r>
              <w:rPr>
                <w:bCs/>
                <w:iCs/>
                <w:color w:val="000000"/>
                <w:sz w:val="24"/>
              </w:rPr>
              <w:t>月</w:t>
            </w:r>
            <w:r>
              <w:rPr>
                <w:rFonts w:hint="eastAsia"/>
                <w:bCs/>
                <w:iCs/>
                <w:color w:val="000000"/>
                <w:sz w:val="24"/>
                <w:lang w:val="en-US" w:eastAsia="zh-CN"/>
              </w:rPr>
              <w:t>26</w:t>
            </w:r>
            <w:r>
              <w:rPr>
                <w:bCs/>
                <w:iCs/>
                <w:color w:val="000000"/>
                <w:sz w:val="24"/>
              </w:rPr>
              <w:t>日</w:t>
            </w:r>
          </w:p>
        </w:tc>
      </w:tr>
    </w:tbl>
    <w:p w14:paraId="5C42C65B">
      <w:pPr>
        <w:spacing w:line="360" w:lineRule="auto"/>
        <w:jc w:val="left"/>
        <w:rPr>
          <w:bCs/>
          <w:iCs/>
          <w:color w:val="000000"/>
          <w:sz w:val="24"/>
        </w:rPr>
      </w:pPr>
    </w:p>
    <w:sectPr>
      <w:footerReference r:id="rId3" w:type="default"/>
      <w:pgSz w:w="11906" w:h="16838"/>
      <w:pgMar w:top="1276" w:right="1800" w:bottom="993" w:left="1800" w:header="851" w:footer="34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251118"/>
    </w:sdtPr>
    <w:sdtContent>
      <w:p w14:paraId="5B73F718">
        <w:pPr>
          <w:pStyle w:val="4"/>
          <w:jc w:val="center"/>
        </w:pPr>
        <w:r>
          <w:rPr>
            <w:sz w:val="21"/>
          </w:rPr>
          <w:fldChar w:fldCharType="begin"/>
        </w:r>
        <w:r>
          <w:rPr>
            <w:sz w:val="21"/>
          </w:rPr>
          <w:instrText xml:space="preserve">PAGE   \* MERGEFORMAT</w:instrText>
        </w:r>
        <w:r>
          <w:rPr>
            <w:sz w:val="21"/>
          </w:rPr>
          <w:fldChar w:fldCharType="separate"/>
        </w:r>
        <w:r>
          <w:rPr>
            <w:sz w:val="21"/>
            <w:lang w:val="zh-CN"/>
          </w:rPr>
          <w:t>8</w:t>
        </w:r>
        <w:r>
          <w:rPr>
            <w:sz w:val="21"/>
          </w:rPr>
          <w:fldChar w:fldCharType="end"/>
        </w:r>
      </w:p>
    </w:sdtContent>
  </w:sdt>
  <w:p w14:paraId="063C09D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CB203"/>
    <w:multiLevelType w:val="singleLevel"/>
    <w:tmpl w:val="CD1CB20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720"/>
  <w:drawingGridHorizontalSpacing w:val="105"/>
  <w:drawingGridVerticalSpacing w:val="156"/>
  <w:displayHorizontalDrawingGridEvery w:val="1"/>
  <w:displayVerticalDrawingGridEvery w:val="1"/>
  <w:noPunctuationKerning w:val="1"/>
  <w:characterSpacingControl w:val="doNotCompress"/>
  <w:doNotValidateAgainstSchema/>
  <w:doNotDemarcateInvalidXml/>
  <w:compat>
    <w:spaceForUL/>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BF"/>
    <w:rsid w:val="000C660F"/>
    <w:rsid w:val="000F4966"/>
    <w:rsid w:val="001D5161"/>
    <w:rsid w:val="00237FD5"/>
    <w:rsid w:val="00353D43"/>
    <w:rsid w:val="00381F6C"/>
    <w:rsid w:val="004A41FC"/>
    <w:rsid w:val="007A01BF"/>
    <w:rsid w:val="007B1C4B"/>
    <w:rsid w:val="007E4197"/>
    <w:rsid w:val="008061D7"/>
    <w:rsid w:val="00C067B8"/>
    <w:rsid w:val="00C42083"/>
    <w:rsid w:val="00D14063"/>
    <w:rsid w:val="00F12F1E"/>
    <w:rsid w:val="056B20F3"/>
    <w:rsid w:val="10725EA8"/>
    <w:rsid w:val="360C1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alloon Text"/>
    <w:basedOn w:val="1"/>
    <w:link w:val="14"/>
    <w:unhideWhenUsed/>
    <w:uiPriority w:val="99"/>
    <w:rPr>
      <w:sz w:val="18"/>
      <w:szCs w:val="18"/>
    </w:r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unhideWhenUsed/>
    <w:uiPriority w:val="99"/>
    <w:rPr>
      <w:b/>
      <w:bCs/>
    </w:rPr>
  </w:style>
  <w:style w:type="character" w:styleId="9">
    <w:name w:val="Hyperlink"/>
    <w:basedOn w:val="8"/>
    <w:qFormat/>
    <w:uiPriority w:val="0"/>
    <w:rPr>
      <w:color w:val="0000FF"/>
      <w:u w:val="single"/>
    </w:rPr>
  </w:style>
  <w:style w:type="character" w:styleId="10">
    <w:name w:val="annotation reference"/>
    <w:basedOn w:val="8"/>
    <w:link w:val="11"/>
    <w:unhideWhenUsed/>
    <w:qFormat/>
    <w:uiPriority w:val="0"/>
    <w:rPr>
      <w:sz w:val="21"/>
      <w:szCs w:val="21"/>
    </w:rPr>
  </w:style>
  <w:style w:type="paragraph" w:customStyle="1" w:styleId="11">
    <w:name w:val="_Style 139"/>
    <w:basedOn w:val="1"/>
    <w:link w:val="10"/>
    <w:qFormat/>
    <w:uiPriority w:val="0"/>
    <w:pPr>
      <w:spacing w:after="120"/>
    </w:pPr>
    <w:rPr>
      <w:rFonts w:ascii="Calibri" w:hAnsi="Calibri" w:eastAsia="微软雅黑"/>
      <w:kern w:val="0"/>
      <w:szCs w:val="21"/>
    </w:rPr>
  </w:style>
  <w:style w:type="character" w:customStyle="1" w:styleId="12">
    <w:name w:val="页眉 Char"/>
    <w:basedOn w:val="8"/>
    <w:link w:val="5"/>
    <w:uiPriority w:val="0"/>
    <w:rPr>
      <w:rFonts w:ascii="Times New Roman" w:hAnsi="Times New Roman" w:eastAsia="宋体"/>
      <w:kern w:val="2"/>
      <w:sz w:val="18"/>
      <w:szCs w:val="18"/>
    </w:rPr>
  </w:style>
  <w:style w:type="character" w:customStyle="1" w:styleId="13">
    <w:name w:val="页脚 Char"/>
    <w:basedOn w:val="8"/>
    <w:link w:val="4"/>
    <w:uiPriority w:val="99"/>
    <w:rPr>
      <w:rFonts w:ascii="Times New Roman" w:hAnsi="Times New Roman" w:eastAsia="宋体"/>
      <w:kern w:val="2"/>
      <w:sz w:val="18"/>
      <w:szCs w:val="18"/>
    </w:rPr>
  </w:style>
  <w:style w:type="character" w:customStyle="1" w:styleId="14">
    <w:name w:val="批注框文本 Char"/>
    <w:basedOn w:val="8"/>
    <w:link w:val="3"/>
    <w:semiHidden/>
    <w:qFormat/>
    <w:uiPriority w:val="99"/>
    <w:rPr>
      <w:rFonts w:ascii="Times New Roman" w:hAnsi="Times New Roman" w:eastAsia="宋体"/>
      <w:kern w:val="2"/>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列出段落1"/>
    <w:basedOn w:val="1"/>
    <w:qFormat/>
    <w:uiPriority w:val="34"/>
    <w:pPr>
      <w:ind w:firstLine="420" w:firstLineChars="200"/>
    </w:pPr>
  </w:style>
  <w:style w:type="character" w:customStyle="1" w:styleId="17">
    <w:name w:val="批注文字 Char"/>
    <w:basedOn w:val="8"/>
    <w:link w:val="2"/>
    <w:semiHidden/>
    <w:qFormat/>
    <w:uiPriority w:val="99"/>
    <w:rPr>
      <w:rFonts w:ascii="Times New Roman" w:hAnsi="Times New Roman" w:eastAsia="宋体"/>
      <w:kern w:val="2"/>
      <w:sz w:val="21"/>
      <w:szCs w:val="24"/>
    </w:rPr>
  </w:style>
  <w:style w:type="character" w:customStyle="1" w:styleId="18">
    <w:name w:val="批注主题 Char"/>
    <w:basedOn w:val="17"/>
    <w:link w:val="6"/>
    <w:semiHidden/>
    <w:qFormat/>
    <w:uiPriority w:val="99"/>
    <w:rPr>
      <w:rFonts w:ascii="Times New Roman" w:hAnsi="Times New Roman" w:eastAsia="宋体"/>
      <w:b/>
      <w:bCs/>
      <w:kern w:val="2"/>
      <w:sz w:val="21"/>
      <w:szCs w:val="24"/>
    </w:rPr>
  </w:style>
  <w:style w:type="character" w:customStyle="1" w:styleId="19">
    <w:name w:val="批注文字 Char3"/>
    <w:basedOn w:val="8"/>
    <w:qFormat/>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www.sdwmbbs.com</Company>
  <Pages>2</Pages>
  <Words>5882</Words>
  <Characters>6298</Characters>
  <Lines>46</Lines>
  <Paragraphs>13</Paragraphs>
  <TotalTime>48</TotalTime>
  <ScaleCrop>false</ScaleCrop>
  <LinksUpToDate>false</LinksUpToDate>
  <CharactersWithSpaces>6465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2024-04-22T02:25:00Z</dcterms:created>
  <dc:creator>深度完美技术论坛</dc:creator>
  <cp:lastModifiedBy>wxx</cp:lastModifiedBy>
  <cp:lastPrinted>2025-06-26T08:49:35Z</cp:lastPrinted>
  <dcterms:modified xsi:type="dcterms:W3CDTF">2025-06-26T09:11:35Z</dcterms:modified>
  <dc:title>证券代码： 300219                                  证券简称：鸿利光电</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9DD1B29351204E9A9499E2C74EABF653_13</vt:lpwstr>
  </property>
  <property fmtid="{D5CDD505-2E9C-101B-9397-08002B2CF9AE}" pid="4" name="KSOTemplateDocerSaveRecord">
    <vt:lpwstr>eyJoZGlkIjoiNjQwMmUyMzE5NDRmMGM3YzY1YmNhZGJjMDRjOTBiODEiLCJ1c2VySWQiOiI2NjQ2OTg1NjEifQ==</vt:lpwstr>
  </property>
</Properties>
</file>