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96F1B">
      <w:pPr>
        <w:spacing w:line="360" w:lineRule="auto"/>
        <w:jc w:val="left"/>
        <w:rPr>
          <w:rFonts w:ascii="Times" w:hAnsi="Times" w:eastAsia="宋体"/>
          <w:sz w:val="24"/>
          <w:szCs w:val="24"/>
        </w:rPr>
      </w:pPr>
      <w:r>
        <w:rPr>
          <w:rFonts w:ascii="Times" w:hAnsi="Times" w:eastAsia="宋体"/>
          <w:sz w:val="24"/>
          <w:szCs w:val="24"/>
        </w:rPr>
        <w:t>附件5：</w:t>
      </w:r>
    </w:p>
    <w:p w14:paraId="23B7AF07">
      <w:pPr>
        <w:spacing w:line="360" w:lineRule="auto"/>
        <w:jc w:val="center"/>
        <w:rPr>
          <w:rFonts w:ascii="Times" w:hAnsi="Times"/>
          <w:b/>
          <w:sz w:val="28"/>
          <w:szCs w:val="28"/>
        </w:rPr>
      </w:pPr>
      <w:r>
        <w:rPr>
          <w:rFonts w:hint="eastAsia" w:ascii="Times" w:hAnsi="Times"/>
          <w:b/>
          <w:sz w:val="28"/>
          <w:szCs w:val="28"/>
        </w:rPr>
        <w:t>今创集团股份有限公司</w:t>
      </w:r>
    </w:p>
    <w:p w14:paraId="666A42ED">
      <w:pPr>
        <w:spacing w:line="360" w:lineRule="auto"/>
        <w:jc w:val="center"/>
        <w:rPr>
          <w:rFonts w:ascii="Times" w:hAnsi="Times"/>
          <w:b/>
          <w:sz w:val="28"/>
          <w:szCs w:val="28"/>
        </w:rPr>
      </w:pPr>
      <w:r>
        <w:rPr>
          <w:rFonts w:hint="eastAsia" w:ascii="Times" w:hAnsi="Times"/>
          <w:b/>
          <w:sz w:val="28"/>
          <w:szCs w:val="28"/>
        </w:rPr>
        <w:t>投资者关系活动记录表</w:t>
      </w:r>
    </w:p>
    <w:p w14:paraId="47BF0CD6">
      <w:pPr>
        <w:spacing w:line="400" w:lineRule="exact"/>
        <w:jc w:val="both"/>
        <w:rPr>
          <w:rFonts w:ascii="Times" w:hAnsi="Times"/>
        </w:rPr>
      </w:pPr>
    </w:p>
    <w:p w14:paraId="20568031">
      <w:pPr>
        <w:spacing w:line="400" w:lineRule="exact"/>
        <w:jc w:val="left"/>
        <w:rPr>
          <w:rFonts w:hint="default" w:ascii="Times" w:hAnsi="Times" w:eastAsiaTheme="minorEastAsia"/>
          <w:b/>
          <w:sz w:val="24"/>
          <w:szCs w:val="24"/>
          <w:lang w:val="en-US" w:eastAsia="zh-CN"/>
        </w:rPr>
      </w:pPr>
      <w:r>
        <w:rPr>
          <w:rFonts w:hint="eastAsia" w:ascii="Times" w:hAnsi="Times"/>
          <w:sz w:val="24"/>
          <w:szCs w:val="24"/>
        </w:rPr>
        <w:t>证券简称：今创集团</w:t>
      </w:r>
      <w:r>
        <w:rPr>
          <w:rFonts w:ascii="Times" w:hAnsi="Times"/>
          <w:sz w:val="24"/>
          <w:szCs w:val="24"/>
        </w:rPr>
        <w:t xml:space="preserve">        </w:t>
      </w:r>
      <w:r>
        <w:rPr>
          <w:rFonts w:hint="eastAsia" w:ascii="Times" w:hAnsi="Times"/>
          <w:sz w:val="24"/>
          <w:szCs w:val="24"/>
          <w:lang w:val="en-US" w:eastAsia="zh-CN"/>
        </w:rPr>
        <w:t xml:space="preserve">                           </w:t>
      </w:r>
      <w:r>
        <w:rPr>
          <w:rFonts w:ascii="Times" w:hAnsi="Times"/>
          <w:sz w:val="24"/>
          <w:szCs w:val="24"/>
        </w:rPr>
        <w:t xml:space="preserve"> </w:t>
      </w:r>
      <w:r>
        <w:rPr>
          <w:rFonts w:hint="eastAsia" w:ascii="Times" w:hAnsi="Times"/>
          <w:sz w:val="24"/>
          <w:szCs w:val="24"/>
        </w:rPr>
        <w:t>证券代码：</w:t>
      </w:r>
      <w:r>
        <w:rPr>
          <w:rFonts w:ascii="Times" w:hAnsi="Times"/>
          <w:sz w:val="24"/>
          <w:szCs w:val="24"/>
        </w:rPr>
        <w:t xml:space="preserve">603680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486"/>
      </w:tblGrid>
      <w:tr w14:paraId="0051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36" w:type="dxa"/>
            <w:vAlign w:val="center"/>
          </w:tcPr>
          <w:p w14:paraId="75EA0F60">
            <w:pPr>
              <w:spacing w:line="400" w:lineRule="exact"/>
              <w:rPr>
                <w:rFonts w:ascii="Times" w:hAnsi="Times"/>
                <w:sz w:val="24"/>
                <w:szCs w:val="24"/>
              </w:rPr>
            </w:pPr>
            <w:r>
              <w:rPr>
                <w:rFonts w:hint="eastAsia" w:ascii="Times" w:hAnsi="Times"/>
                <w:sz w:val="24"/>
                <w:szCs w:val="24"/>
              </w:rPr>
              <w:t>投资者关系活动类别</w:t>
            </w:r>
          </w:p>
        </w:tc>
        <w:tc>
          <w:tcPr>
            <w:tcW w:w="6486" w:type="dxa"/>
            <w:vAlign w:val="center"/>
          </w:tcPr>
          <w:p w14:paraId="2785F706">
            <w:pPr>
              <w:spacing w:line="400" w:lineRule="exact"/>
              <w:rPr>
                <w:rFonts w:ascii="Times" w:hAnsi="Times"/>
                <w:sz w:val="24"/>
                <w:szCs w:val="24"/>
              </w:rPr>
            </w:pPr>
            <w:r>
              <w:rPr>
                <w:rFonts w:hint="eastAsia" w:ascii="Calibri" w:hAnsi="Calibri" w:eastAsia="宋体" w:cs="Calibri"/>
                <w:sz w:val="24"/>
                <w:szCs w:val="24"/>
                <w:lang w:eastAsia="zh-CN"/>
              </w:rPr>
              <w:t>□</w:t>
            </w:r>
            <w:r>
              <w:rPr>
                <w:rFonts w:hint="eastAsia" w:ascii="Times" w:hAnsi="Times"/>
                <w:sz w:val="24"/>
                <w:szCs w:val="24"/>
              </w:rPr>
              <w:t>特定对象调研</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分析师会议</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媒体采访</w:t>
            </w:r>
          </w:p>
          <w:p w14:paraId="3CB406C6">
            <w:pPr>
              <w:spacing w:line="400" w:lineRule="exact"/>
              <w:rPr>
                <w:rFonts w:ascii="Times" w:hAnsi="Times"/>
                <w:sz w:val="24"/>
                <w:szCs w:val="24"/>
              </w:rPr>
            </w:pPr>
            <w:r>
              <w:rPr>
                <w:rFonts w:hint="eastAsia" w:ascii="Calibri" w:hAnsi="Calibri" w:eastAsia="宋体" w:cs="Calibri"/>
                <w:sz w:val="24"/>
                <w:szCs w:val="24"/>
                <w:lang w:eastAsia="zh-CN"/>
              </w:rPr>
              <w:t>□</w:t>
            </w:r>
            <w:r>
              <w:rPr>
                <w:rFonts w:hint="eastAsia" w:ascii="Times" w:hAnsi="Times"/>
                <w:sz w:val="24"/>
                <w:szCs w:val="24"/>
              </w:rPr>
              <w:t>业绩说明会</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新闻发布会</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路演活动</w:t>
            </w:r>
            <w:r>
              <w:rPr>
                <w:rFonts w:ascii="Times" w:hAnsi="Times"/>
                <w:sz w:val="24"/>
                <w:szCs w:val="24"/>
              </w:rPr>
              <w:t xml:space="preserve"> </w:t>
            </w:r>
          </w:p>
          <w:p w14:paraId="1820BD90">
            <w:pPr>
              <w:spacing w:line="400" w:lineRule="exact"/>
              <w:rPr>
                <w:rFonts w:ascii="Times" w:hAnsi="Times"/>
                <w:sz w:val="24"/>
                <w:szCs w:val="24"/>
              </w:rPr>
            </w:pPr>
            <w:r>
              <w:rPr>
                <w:rFonts w:hint="eastAsia" w:ascii="Calibri" w:hAnsi="Calibri" w:eastAsia="宋体" w:cs="Calibri"/>
                <w:sz w:val="24"/>
                <w:szCs w:val="24"/>
                <w:lang w:eastAsia="zh-CN"/>
              </w:rPr>
              <w:t>☑</w:t>
            </w:r>
            <w:r>
              <w:rPr>
                <w:rFonts w:hint="eastAsia" w:ascii="Times" w:hAnsi="Times"/>
                <w:sz w:val="24"/>
                <w:szCs w:val="24"/>
              </w:rPr>
              <w:t>现场参观</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其他（</w:t>
            </w:r>
            <w:r>
              <w:rPr>
                <w:rFonts w:ascii="Times" w:hAnsi="Times"/>
                <w:sz w:val="24"/>
                <w:szCs w:val="24"/>
              </w:rPr>
              <w:t xml:space="preserve">          </w:t>
            </w:r>
            <w:r>
              <w:rPr>
                <w:rFonts w:hint="eastAsia" w:ascii="Times" w:hAnsi="Times"/>
                <w:sz w:val="24"/>
                <w:szCs w:val="24"/>
              </w:rPr>
              <w:t>）</w:t>
            </w:r>
          </w:p>
        </w:tc>
      </w:tr>
      <w:tr w14:paraId="6B1D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036" w:type="dxa"/>
            <w:vAlign w:val="center"/>
          </w:tcPr>
          <w:p w14:paraId="1BA090F6">
            <w:pPr>
              <w:spacing w:line="400" w:lineRule="exact"/>
              <w:rPr>
                <w:rFonts w:ascii="Times" w:hAnsi="Times"/>
                <w:sz w:val="24"/>
                <w:szCs w:val="24"/>
              </w:rPr>
            </w:pPr>
            <w:r>
              <w:rPr>
                <w:rFonts w:hint="eastAsia" w:ascii="Times" w:hAnsi="Times"/>
                <w:sz w:val="24"/>
                <w:szCs w:val="24"/>
              </w:rPr>
              <w:t>参与单位名称及人员姓名</w:t>
            </w:r>
          </w:p>
        </w:tc>
        <w:tc>
          <w:tcPr>
            <w:tcW w:w="6486" w:type="dxa"/>
            <w:vAlign w:val="center"/>
          </w:tcPr>
          <w:p w14:paraId="056D1E6E">
            <w:pPr>
              <w:spacing w:line="400" w:lineRule="exact"/>
              <w:rPr>
                <w:rFonts w:hint="default" w:ascii="Times" w:hAnsi="Times"/>
                <w:sz w:val="24"/>
                <w:szCs w:val="24"/>
                <w:lang w:val="en-US"/>
              </w:rPr>
            </w:pPr>
            <w:r>
              <w:rPr>
                <w:rFonts w:hint="eastAsia" w:ascii="Times" w:hAnsi="Times"/>
                <w:sz w:val="24"/>
                <w:szCs w:val="24"/>
                <w:lang w:val="en-US" w:eastAsia="zh-CN"/>
              </w:rPr>
              <w:t xml:space="preserve">江苏省证券业协会、中信建投证券、常州电视台、常州日报及由中信建投证券组织的投资者团队 </w:t>
            </w:r>
          </w:p>
        </w:tc>
      </w:tr>
      <w:tr w14:paraId="1F77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036" w:type="dxa"/>
            <w:vAlign w:val="center"/>
          </w:tcPr>
          <w:p w14:paraId="7233611E">
            <w:pPr>
              <w:spacing w:line="400" w:lineRule="exact"/>
              <w:rPr>
                <w:rFonts w:ascii="Times" w:hAnsi="Times"/>
                <w:sz w:val="24"/>
                <w:szCs w:val="24"/>
              </w:rPr>
            </w:pPr>
            <w:r>
              <w:rPr>
                <w:rFonts w:hint="eastAsia" w:ascii="Times" w:hAnsi="Times"/>
                <w:sz w:val="24"/>
                <w:szCs w:val="24"/>
              </w:rPr>
              <w:t>时间</w:t>
            </w:r>
          </w:p>
        </w:tc>
        <w:tc>
          <w:tcPr>
            <w:tcW w:w="6486" w:type="dxa"/>
            <w:vAlign w:val="center"/>
          </w:tcPr>
          <w:p w14:paraId="31CCDED0">
            <w:pPr>
              <w:spacing w:line="400" w:lineRule="exact"/>
              <w:rPr>
                <w:rFonts w:ascii="Times" w:hAnsi="Times"/>
                <w:sz w:val="24"/>
                <w:szCs w:val="24"/>
              </w:rPr>
            </w:pPr>
            <w:r>
              <w:rPr>
                <w:rFonts w:hint="eastAsia" w:ascii="Times" w:hAnsi="Times"/>
                <w:sz w:val="24"/>
                <w:szCs w:val="24"/>
              </w:rPr>
              <w:t>202</w:t>
            </w:r>
            <w:r>
              <w:rPr>
                <w:rFonts w:hint="eastAsia" w:ascii="Times" w:hAnsi="Times"/>
                <w:sz w:val="24"/>
                <w:szCs w:val="24"/>
                <w:lang w:val="en-US" w:eastAsia="zh-CN"/>
              </w:rPr>
              <w:t>5</w:t>
            </w:r>
            <w:r>
              <w:rPr>
                <w:rFonts w:hint="eastAsia" w:ascii="Times" w:hAnsi="Times"/>
                <w:sz w:val="24"/>
                <w:szCs w:val="24"/>
              </w:rPr>
              <w:t>年</w:t>
            </w:r>
            <w:r>
              <w:rPr>
                <w:rFonts w:hint="eastAsia" w:ascii="Times" w:hAnsi="Times"/>
                <w:sz w:val="24"/>
                <w:szCs w:val="24"/>
                <w:lang w:val="en-US" w:eastAsia="zh-CN"/>
              </w:rPr>
              <w:t>6</w:t>
            </w:r>
            <w:r>
              <w:rPr>
                <w:rFonts w:hint="eastAsia" w:ascii="Times" w:hAnsi="Times"/>
                <w:sz w:val="24"/>
                <w:szCs w:val="24"/>
              </w:rPr>
              <w:t>月</w:t>
            </w:r>
            <w:r>
              <w:rPr>
                <w:rFonts w:hint="eastAsia" w:ascii="Times" w:hAnsi="Times"/>
                <w:sz w:val="24"/>
                <w:szCs w:val="24"/>
                <w:lang w:val="en-US" w:eastAsia="zh-CN"/>
              </w:rPr>
              <w:t>26</w:t>
            </w:r>
            <w:r>
              <w:rPr>
                <w:rFonts w:hint="eastAsia" w:ascii="Times" w:hAnsi="Times"/>
                <w:sz w:val="24"/>
                <w:szCs w:val="24"/>
              </w:rPr>
              <w:t>日 下午1</w:t>
            </w:r>
            <w:r>
              <w:rPr>
                <w:rFonts w:hint="eastAsia" w:ascii="Times" w:hAnsi="Times"/>
                <w:sz w:val="24"/>
                <w:szCs w:val="24"/>
                <w:lang w:val="en-US" w:eastAsia="zh-CN"/>
              </w:rPr>
              <w:t>4</w:t>
            </w:r>
            <w:r>
              <w:rPr>
                <w:rFonts w:hint="eastAsia" w:ascii="Times" w:hAnsi="Times"/>
                <w:sz w:val="24"/>
                <w:szCs w:val="24"/>
              </w:rPr>
              <w:t>:</w:t>
            </w:r>
            <w:r>
              <w:rPr>
                <w:rFonts w:hint="eastAsia" w:ascii="Times" w:hAnsi="Times"/>
                <w:sz w:val="24"/>
                <w:szCs w:val="24"/>
                <w:lang w:val="en-US" w:eastAsia="zh-CN"/>
              </w:rPr>
              <w:t>0</w:t>
            </w:r>
            <w:r>
              <w:rPr>
                <w:rFonts w:hint="eastAsia" w:ascii="Times" w:hAnsi="Times"/>
                <w:sz w:val="24"/>
                <w:szCs w:val="24"/>
              </w:rPr>
              <w:t>0-1</w:t>
            </w:r>
            <w:r>
              <w:rPr>
                <w:rFonts w:hint="eastAsia" w:ascii="Times" w:hAnsi="Times"/>
                <w:sz w:val="24"/>
                <w:szCs w:val="24"/>
                <w:lang w:val="en-US" w:eastAsia="zh-CN"/>
              </w:rPr>
              <w:t>6</w:t>
            </w:r>
            <w:r>
              <w:rPr>
                <w:rFonts w:hint="eastAsia" w:ascii="Times" w:hAnsi="Times"/>
                <w:sz w:val="24"/>
                <w:szCs w:val="24"/>
              </w:rPr>
              <w:t>:</w:t>
            </w:r>
            <w:r>
              <w:rPr>
                <w:rFonts w:hint="eastAsia" w:ascii="Times" w:hAnsi="Times"/>
                <w:sz w:val="24"/>
                <w:szCs w:val="24"/>
                <w:lang w:val="en-US" w:eastAsia="zh-CN"/>
              </w:rPr>
              <w:t>3</w:t>
            </w:r>
            <w:r>
              <w:rPr>
                <w:rFonts w:hint="eastAsia" w:ascii="Times" w:hAnsi="Times"/>
                <w:sz w:val="24"/>
                <w:szCs w:val="24"/>
              </w:rPr>
              <w:t>0</w:t>
            </w:r>
          </w:p>
        </w:tc>
      </w:tr>
      <w:tr w14:paraId="0D50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36" w:type="dxa"/>
            <w:vAlign w:val="center"/>
          </w:tcPr>
          <w:p w14:paraId="583A1248">
            <w:pPr>
              <w:spacing w:line="400" w:lineRule="exact"/>
              <w:rPr>
                <w:rFonts w:ascii="Times" w:hAnsi="Times"/>
                <w:sz w:val="24"/>
                <w:szCs w:val="24"/>
              </w:rPr>
            </w:pPr>
            <w:r>
              <w:rPr>
                <w:rFonts w:hint="eastAsia" w:ascii="Times" w:hAnsi="Times"/>
                <w:sz w:val="24"/>
                <w:szCs w:val="24"/>
              </w:rPr>
              <w:t>地点</w:t>
            </w:r>
          </w:p>
        </w:tc>
        <w:tc>
          <w:tcPr>
            <w:tcW w:w="6486" w:type="dxa"/>
            <w:vAlign w:val="center"/>
          </w:tcPr>
          <w:p w14:paraId="309D39E4">
            <w:pPr>
              <w:spacing w:line="400" w:lineRule="exact"/>
              <w:rPr>
                <w:rFonts w:ascii="Times" w:hAnsi="Times"/>
                <w:sz w:val="24"/>
                <w:szCs w:val="24"/>
              </w:rPr>
            </w:pPr>
            <w:r>
              <w:rPr>
                <w:rFonts w:hint="eastAsia" w:ascii="Times" w:hAnsi="Times"/>
                <w:sz w:val="24"/>
                <w:szCs w:val="24"/>
              </w:rPr>
              <w:t>公司展厅、会议室</w:t>
            </w:r>
          </w:p>
        </w:tc>
      </w:tr>
      <w:tr w14:paraId="530F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36" w:type="dxa"/>
            <w:vAlign w:val="center"/>
          </w:tcPr>
          <w:p w14:paraId="3F8329BC">
            <w:pPr>
              <w:spacing w:line="400" w:lineRule="exact"/>
              <w:rPr>
                <w:rFonts w:ascii="Times" w:hAnsi="Times"/>
                <w:sz w:val="24"/>
                <w:szCs w:val="24"/>
              </w:rPr>
            </w:pPr>
            <w:r>
              <w:rPr>
                <w:rFonts w:hint="eastAsia" w:ascii="Times" w:hAnsi="Times"/>
                <w:sz w:val="24"/>
                <w:szCs w:val="24"/>
              </w:rPr>
              <w:t>公司接待人员姓名</w:t>
            </w:r>
          </w:p>
        </w:tc>
        <w:tc>
          <w:tcPr>
            <w:tcW w:w="6486" w:type="dxa"/>
            <w:vAlign w:val="center"/>
          </w:tcPr>
          <w:p w14:paraId="65752597">
            <w:pPr>
              <w:spacing w:line="400" w:lineRule="exact"/>
              <w:rPr>
                <w:rFonts w:hint="eastAsia" w:ascii="Times" w:hAnsi="Times" w:eastAsiaTheme="minorEastAsia"/>
                <w:sz w:val="24"/>
                <w:szCs w:val="24"/>
                <w:lang w:val="en-US" w:eastAsia="zh-CN"/>
              </w:rPr>
            </w:pPr>
            <w:r>
              <w:rPr>
                <w:rFonts w:hint="eastAsia" w:ascii="Times" w:hAnsi="Times"/>
                <w:sz w:val="24"/>
                <w:szCs w:val="24"/>
                <w:lang w:val="en-US" w:eastAsia="zh-CN"/>
              </w:rPr>
              <w:t>董事、总经理戈建鸣；副总经理、董事会秘书高锋</w:t>
            </w:r>
            <w:r>
              <w:rPr>
                <w:rFonts w:hint="eastAsia" w:ascii="Times" w:hAnsi="Times"/>
                <w:sz w:val="24"/>
                <w:szCs w:val="24"/>
                <w:lang w:eastAsia="zh-CN"/>
              </w:rPr>
              <w:t>；</w:t>
            </w:r>
            <w:r>
              <w:rPr>
                <w:rFonts w:hint="eastAsia" w:ascii="Times" w:hAnsi="Times"/>
                <w:sz w:val="24"/>
                <w:szCs w:val="24"/>
                <w:lang w:val="en-US" w:eastAsia="zh-CN"/>
              </w:rPr>
              <w:t>证券事务代表</w:t>
            </w:r>
            <w:r>
              <w:rPr>
                <w:rFonts w:hint="eastAsia" w:ascii="Times" w:hAnsi="Times"/>
                <w:sz w:val="24"/>
                <w:szCs w:val="24"/>
              </w:rPr>
              <w:t>杨明珠</w:t>
            </w:r>
          </w:p>
        </w:tc>
      </w:tr>
      <w:tr w14:paraId="37A5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036" w:type="dxa"/>
            <w:vAlign w:val="center"/>
          </w:tcPr>
          <w:p w14:paraId="40E4B1E4">
            <w:pPr>
              <w:spacing w:line="400" w:lineRule="exact"/>
              <w:rPr>
                <w:rFonts w:ascii="Times" w:hAnsi="Times"/>
                <w:sz w:val="24"/>
                <w:szCs w:val="24"/>
              </w:rPr>
            </w:pPr>
            <w:r>
              <w:rPr>
                <w:rFonts w:hint="eastAsia" w:ascii="Times" w:hAnsi="Times"/>
                <w:sz w:val="24"/>
                <w:szCs w:val="24"/>
              </w:rPr>
              <w:t>投资者关系活动</w:t>
            </w:r>
          </w:p>
          <w:p w14:paraId="2E8EFC8B">
            <w:pPr>
              <w:spacing w:line="400" w:lineRule="exact"/>
              <w:rPr>
                <w:rFonts w:ascii="Times" w:hAnsi="Times"/>
                <w:sz w:val="24"/>
                <w:szCs w:val="24"/>
              </w:rPr>
            </w:pPr>
            <w:r>
              <w:rPr>
                <w:rFonts w:hint="eastAsia" w:ascii="Times" w:hAnsi="Times"/>
                <w:sz w:val="24"/>
                <w:szCs w:val="24"/>
              </w:rPr>
              <w:t>主要内容介绍</w:t>
            </w:r>
          </w:p>
        </w:tc>
        <w:tc>
          <w:tcPr>
            <w:tcW w:w="6486" w:type="dxa"/>
            <w:vAlign w:val="center"/>
          </w:tcPr>
          <w:p w14:paraId="0F212E81">
            <w:pPr>
              <w:pStyle w:val="8"/>
              <w:numPr>
                <w:ilvl w:val="0"/>
                <w:numId w:val="0"/>
              </w:numPr>
              <w:spacing w:line="360" w:lineRule="auto"/>
              <w:ind w:leftChars="0" w:firstLine="480"/>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为响应上海证券交易所“与高质量同行”的主题号召，中信建投证券股份有限公司组织投资者至公司实地走访，开展“我是股东”走进沪市上市公司活动。</w:t>
            </w:r>
          </w:p>
          <w:p w14:paraId="7BC47AF4">
            <w:pPr>
              <w:pStyle w:val="8"/>
              <w:numPr>
                <w:ilvl w:val="0"/>
                <w:numId w:val="0"/>
              </w:numPr>
              <w:spacing w:line="360" w:lineRule="auto"/>
              <w:ind w:leftChars="0" w:firstLine="480"/>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在简短的欢迎仪式后，公司接待人员</w:t>
            </w:r>
            <w:r>
              <w:rPr>
                <w:rFonts w:hint="eastAsia" w:ascii="Times New Roman" w:hAnsi="Times New Roman" w:cs="Times New Roman"/>
                <w:b w:val="0"/>
                <w:bCs/>
                <w:sz w:val="24"/>
                <w:szCs w:val="24"/>
                <w:lang w:val="en-US" w:eastAsia="zh-CN"/>
              </w:rPr>
              <w:t>带领</w:t>
            </w:r>
            <w:r>
              <w:rPr>
                <w:rFonts w:hint="default" w:ascii="Times New Roman" w:hAnsi="Times New Roman" w:cs="Times New Roman"/>
                <w:b w:val="0"/>
                <w:bCs/>
                <w:sz w:val="24"/>
                <w:szCs w:val="24"/>
                <w:lang w:val="en-US" w:eastAsia="zh-CN"/>
              </w:rPr>
              <w:t>来访团队参观了“聚焦今创”工业展厅，全面介绍了公司产品、技术与服务等基本情况。参观结束后，在公司会议室继续开展了座谈交流，公司董事会秘书高</w:t>
            </w:r>
            <w:r>
              <w:rPr>
                <w:rFonts w:hint="eastAsia" w:ascii="Times" w:hAnsi="Times"/>
                <w:sz w:val="24"/>
                <w:szCs w:val="24"/>
                <w:lang w:val="en-US" w:eastAsia="zh-CN"/>
              </w:rPr>
              <w:t>锋</w:t>
            </w:r>
            <w:r>
              <w:rPr>
                <w:rFonts w:hint="default" w:ascii="Times New Roman" w:hAnsi="Times New Roman" w:cs="Times New Roman"/>
                <w:b w:val="0"/>
                <w:bCs/>
                <w:sz w:val="24"/>
                <w:szCs w:val="24"/>
                <w:lang w:val="en-US" w:eastAsia="zh-CN"/>
              </w:rPr>
              <w:t>先生系统介绍了公司的主要业务和行业情况，以及发展展望，并与来访团队就如下问题进行了补充交流：</w:t>
            </w:r>
          </w:p>
          <w:p w14:paraId="63810054">
            <w:pPr>
              <w:spacing w:line="360" w:lineRule="auto"/>
              <w:ind w:firstLine="462" w:firstLineChars="200"/>
              <w:rPr>
                <w:rFonts w:hint="default" w:ascii="Times New Roman" w:hAnsi="Times New Roman" w:cs="Times New Roman"/>
                <w:b/>
                <w:sz w:val="23"/>
                <w:szCs w:val="23"/>
                <w:lang w:val="en-US" w:eastAsia="zh-CN"/>
              </w:rPr>
            </w:pPr>
            <w:r>
              <w:rPr>
                <w:rFonts w:hint="default" w:ascii="Times New Roman" w:hAnsi="Times New Roman" w:cs="Times New Roman"/>
                <w:b/>
                <w:sz w:val="23"/>
                <w:szCs w:val="23"/>
                <w:lang w:val="en-US" w:eastAsia="zh-CN"/>
              </w:rPr>
              <w:t>1、公司对于未来市值管理有没有新的规划？</w:t>
            </w:r>
          </w:p>
          <w:p w14:paraId="03154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司当前股价反映了市场环境和投资者信心的挑战，公司管理层高度重视市值管理，将其视为提升投资者回报和维护股东权益的核心任务，公司每年制定“提质增效重回报”行动方案并贯彻落实，计划以“提高公司质量为基础”，结合监管要求，制定并实施多层次、可落地的市值管理规划。</w:t>
            </w:r>
          </w:p>
          <w:p w14:paraId="24D131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首先，公司将持续聚焦主业优化，加快发展新质生产力，提升经营质量，推动业绩的稳定增长，保证公司健康发展的基本面，挖掘公司内在价值；</w:t>
            </w:r>
          </w:p>
          <w:p w14:paraId="098D9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其次，在满足现金分红条件、保证公司长远发展的前提下，公司将继续为投资者提供连续、稳定的现金分红，给投资者带来长期的投资回报；</w:t>
            </w:r>
          </w:p>
          <w:p w14:paraId="5346D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第三，我们将加强与投资者的沟通交流，通过业绩说明会、策略会、交流会、E互动平台、投资者热线、媒体专访等多渠道传递公司的价值，让股价更真实、正确地</w:t>
            </w:r>
            <w:r>
              <w:rPr>
                <w:rFonts w:hint="eastAsia" w:ascii="Times New Roman" w:hAnsi="Times New Roman" w:cs="Times New Roman"/>
                <w:sz w:val="24"/>
                <w:szCs w:val="24"/>
                <w:lang w:val="en-US" w:eastAsia="zh-CN"/>
              </w:rPr>
              <w:t>反映</w:t>
            </w:r>
            <w:r>
              <w:rPr>
                <w:rFonts w:hint="default" w:ascii="Times New Roman" w:hAnsi="Times New Roman" w:cs="Times New Roman"/>
                <w:sz w:val="24"/>
                <w:szCs w:val="24"/>
                <w:lang w:val="en-US" w:eastAsia="zh-CN"/>
              </w:rPr>
              <w:t>公司质量；</w:t>
            </w:r>
          </w:p>
          <w:p w14:paraId="4C050F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我们将密切关注政策导向，定期评估市场反</w:t>
            </w:r>
            <w:bookmarkStart w:id="0" w:name="_GoBack"/>
            <w:bookmarkEnd w:id="0"/>
            <w:r>
              <w:rPr>
                <w:rFonts w:hint="default" w:ascii="Times New Roman" w:hAnsi="Times New Roman" w:cs="Times New Roman"/>
                <w:sz w:val="24"/>
                <w:szCs w:val="24"/>
                <w:lang w:val="en-US" w:eastAsia="zh-CN"/>
              </w:rPr>
              <w:t>馈，优化</w:t>
            </w:r>
            <w:r>
              <w:rPr>
                <w:rFonts w:hint="eastAsia" w:ascii="Times New Roman" w:hAnsi="Times New Roman" w:cs="Times New Roman"/>
                <w:sz w:val="24"/>
                <w:szCs w:val="24"/>
                <w:lang w:val="en-US" w:eastAsia="zh-CN"/>
              </w:rPr>
              <w:t>市值</w:t>
            </w:r>
            <w:r>
              <w:rPr>
                <w:rFonts w:hint="default" w:ascii="Times New Roman" w:hAnsi="Times New Roman" w:cs="Times New Roman"/>
                <w:sz w:val="24"/>
                <w:szCs w:val="24"/>
                <w:lang w:val="en-US" w:eastAsia="zh-CN"/>
              </w:rPr>
              <w:t>管理策略，如后续有其他市值管理方面的重大举措，公司将按照相关法律法规和公司内部管理制度要求及时履行披露义务。</w:t>
            </w:r>
          </w:p>
          <w:p w14:paraId="7A248551">
            <w:pPr>
              <w:spacing w:line="360" w:lineRule="auto"/>
              <w:ind w:firstLine="462" w:firstLineChars="200"/>
              <w:rPr>
                <w:rFonts w:hint="default" w:ascii="Times New Roman" w:hAnsi="Times New Roman" w:cs="Times New Roman"/>
                <w:b/>
                <w:sz w:val="23"/>
                <w:szCs w:val="23"/>
                <w:lang w:val="en-US" w:eastAsia="zh-CN"/>
              </w:rPr>
            </w:pPr>
            <w:r>
              <w:rPr>
                <w:rFonts w:hint="default" w:ascii="Times New Roman" w:hAnsi="Times New Roman" w:cs="Times New Roman"/>
                <w:b/>
                <w:sz w:val="23"/>
                <w:szCs w:val="23"/>
                <w:lang w:val="en-US" w:eastAsia="zh-CN"/>
              </w:rPr>
              <w:t>2、贵公司的特种车辆主要是运用在哪些领域？未来市场前景怎样？年报中提到的智慧港口和零碳矿山设备方面的进展如何？</w:t>
            </w:r>
          </w:p>
          <w:p w14:paraId="05F1A8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特种车辆系公司全资子公司江苏今创车辆有限公司的产品，主要包括为国际国内轨道交通提供各种内燃机车、轨道车、网轨检测车、综合作业车、隧道清洗车、平板吊车、平板车等地铁工程车辆，为国际国内铁路干线提供的牵引机车、调车机车，为工矿企业提供的各种功率等级的小运转车、调车机车、铁水罐车，为矿山提供架线式工矿电机车等，其前景受国内外宏观环境影响较大。</w:t>
            </w:r>
          </w:p>
          <w:p w14:paraId="74B2D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智慧港口设备主要系公司于2009年收购的全资子公司常州常矿起重机械有限公司的产品，该公司主要设计制造大中型各式桥式起重机、门式起重机、门座式起重机、桅杆式起重机、缆索起重机、抓取料机、装卸船机、堆场堆取料机、无人集卡、水电站门式启闭机等产品，2024年公司全面创新升级传统业务，其中就包括该公司研发出的智慧港口轮式抓取料机，产品范围覆盖内河、港口码头集装箱、散杂货的堆取、搬运、装卸等领域，主要用以替代25吨以下门座机的应用，</w:t>
            </w:r>
            <w:r>
              <w:rPr>
                <w:rFonts w:hint="eastAsia" w:ascii="Times New Roman" w:hAnsi="Times New Roman" w:cs="Times New Roman"/>
                <w:sz w:val="24"/>
                <w:szCs w:val="24"/>
                <w:lang w:val="en-US" w:eastAsia="zh-CN"/>
              </w:rPr>
              <w:t>其</w:t>
            </w:r>
            <w:r>
              <w:rPr>
                <w:rFonts w:hint="default" w:ascii="Times New Roman" w:hAnsi="Times New Roman" w:cs="Times New Roman"/>
                <w:sz w:val="24"/>
                <w:szCs w:val="24"/>
                <w:lang w:val="en-US" w:eastAsia="zh-CN"/>
              </w:rPr>
              <w:t>效率在原有门座机的基础上提升1-2倍，且价格更优，目前该产品技术已经成熟，在内河实现应用，口碑良好。</w:t>
            </w:r>
          </w:p>
          <w:p w14:paraId="6E1511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此外，公司在特种车辆、工程机械制造基础上，引入新能源技术，于2023年成立</w:t>
            </w:r>
            <w:r>
              <w:rPr>
                <w:rFonts w:hint="eastAsia" w:ascii="Times New Roman" w:hAnsi="Times New Roman" w:cs="Times New Roman"/>
                <w:sz w:val="24"/>
                <w:szCs w:val="24"/>
                <w:lang w:val="en-US" w:eastAsia="zh-CN"/>
              </w:rPr>
              <w:t>江苏</w:t>
            </w:r>
            <w:r>
              <w:rPr>
                <w:rFonts w:hint="default" w:ascii="Times New Roman" w:hAnsi="Times New Roman" w:cs="Times New Roman"/>
                <w:sz w:val="24"/>
                <w:szCs w:val="24"/>
                <w:lang w:val="en-US" w:eastAsia="zh-CN"/>
              </w:rPr>
              <w:t>常矿工程机械有限公司，致力于研发制造大型新能源矿山机械设备，目前，电动矿用卡车系列化已基本研发完成，并交付了十多个项目。</w:t>
            </w:r>
          </w:p>
          <w:p w14:paraId="22C74230">
            <w:pPr>
              <w:numPr>
                <w:ilvl w:val="0"/>
                <w:numId w:val="1"/>
              </w:numPr>
              <w:spacing w:line="360" w:lineRule="auto"/>
              <w:ind w:firstLine="462" w:firstLineChars="200"/>
              <w:rPr>
                <w:rFonts w:hint="default" w:ascii="Times New Roman" w:hAnsi="Times New Roman" w:cs="Times New Roman"/>
                <w:b/>
                <w:bCs w:val="0"/>
                <w:sz w:val="23"/>
                <w:szCs w:val="23"/>
                <w:lang w:val="en-US" w:eastAsia="zh-CN"/>
              </w:rPr>
            </w:pPr>
            <w:r>
              <w:rPr>
                <w:rFonts w:hint="default" w:ascii="Times New Roman" w:hAnsi="Times New Roman" w:cs="Times New Roman"/>
                <w:b/>
                <w:bCs w:val="0"/>
                <w:sz w:val="23"/>
                <w:szCs w:val="23"/>
                <w:lang w:val="en-US" w:eastAsia="zh-CN"/>
              </w:rPr>
              <w:t>根据介绍，公司能够实现高效的项目制造管理，能否详细介绍一下公司的智造流程，是如何协同全流程数字化管理模式，实现高效输出的？公司在绿色制造方面情况如何？</w:t>
            </w:r>
          </w:p>
          <w:p w14:paraId="4760A6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司所处轨道交通行业是高度定制化的行业，具有多品种、小批量、变更频、要求高等特点，公司以“智慧管理平台”和“五维知识平台”为支撑，构建的全数字全过程智慧管理模式，聚焦客户体验，实现协同创新、柔性工艺和链合智造，从营销、设计、工艺、制造、质量、供应链、管理全方位覆盖，形成统一的管理语言，贯通业务流程，通过大规模总承包的柔性敏捷制造，全过程全数字管理输出“一案一策一作品”，具体来说：</w:t>
            </w:r>
          </w:p>
          <w:p w14:paraId="0E9D3B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在设计端，</w:t>
            </w:r>
            <w:r>
              <w:rPr>
                <w:rFonts w:hint="eastAsia" w:ascii="Times New Roman" w:hAnsi="Times New Roman" w:cs="Times New Roman"/>
                <w:sz w:val="24"/>
                <w:szCs w:val="24"/>
                <w:lang w:val="en-US" w:eastAsia="zh-CN"/>
              </w:rPr>
              <w:t>公司</w:t>
            </w:r>
            <w:r>
              <w:rPr>
                <w:rFonts w:hint="default" w:ascii="Times New Roman" w:hAnsi="Times New Roman" w:cs="Times New Roman"/>
                <w:sz w:val="24"/>
                <w:szCs w:val="24"/>
                <w:lang w:val="en-US" w:eastAsia="zh-CN"/>
              </w:rPr>
              <w:t>通过智慧</w:t>
            </w:r>
            <w:r>
              <w:rPr>
                <w:rFonts w:hint="eastAsia" w:ascii="Times New Roman" w:hAnsi="Times New Roman" w:cs="Times New Roman"/>
                <w:sz w:val="24"/>
                <w:szCs w:val="24"/>
                <w:lang w:val="en-US" w:eastAsia="zh-CN"/>
              </w:rPr>
              <w:t>管理</w:t>
            </w:r>
            <w:r>
              <w:rPr>
                <w:rFonts w:hint="default" w:ascii="Times New Roman" w:hAnsi="Times New Roman" w:cs="Times New Roman"/>
                <w:sz w:val="24"/>
                <w:szCs w:val="24"/>
                <w:lang w:val="en-US" w:eastAsia="zh-CN"/>
              </w:rPr>
              <w:t>平台，可以看到各设计师的情况和在手任务饱和度，</w:t>
            </w:r>
            <w:r>
              <w:rPr>
                <w:rFonts w:hint="eastAsia" w:ascii="Times New Roman" w:hAnsi="Times New Roman" w:cs="Times New Roman"/>
                <w:sz w:val="24"/>
                <w:szCs w:val="24"/>
                <w:lang w:val="en-US" w:eastAsia="zh-CN"/>
              </w:rPr>
              <w:t>从而</w:t>
            </w:r>
            <w:r>
              <w:rPr>
                <w:rFonts w:hint="default" w:ascii="Times New Roman" w:hAnsi="Times New Roman" w:cs="Times New Roman"/>
                <w:sz w:val="24"/>
                <w:szCs w:val="24"/>
                <w:lang w:val="en-US" w:eastAsia="zh-CN"/>
              </w:rPr>
              <w:t>快速实现方案设计任务分配，技术人员可以在五维知识库中快速找到设计方案所需的结构、选材、工艺等，去匹配客户的需求，输出方案，大幅提升了整体设计效率。</w:t>
            </w:r>
          </w:p>
          <w:p w14:paraId="0FEB4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在工艺端，公司的工艺库会给工艺师推荐项目所用的设备、工艺等，模具库会优先推荐公司现有的模具、工装，工艺师根据推荐进行最优选择，形成制造方案，完成生产准备，链接到制造系统。</w:t>
            </w:r>
          </w:p>
          <w:p w14:paraId="3C7566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制造端，项目制造数据链接到公司MES制造系统后，会形成可执行的工单和任务，下达给制造部门，制造中心通过平台能看到各条线的任务饱和度，实现合理分配，高效完成各道工序，并将各工序状态通过系统实时报给生产管理，管理端可以通过手机、PC、看板、大屏等跟踪生产进度，实时把控质量，能源损耗，调控生产计划。</w:t>
            </w:r>
          </w:p>
          <w:p w14:paraId="1C921C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cs="Times New Roman"/>
                <w:b w:val="0"/>
                <w:bCs/>
                <w:sz w:val="23"/>
                <w:szCs w:val="23"/>
                <w:lang w:val="en-US" w:eastAsia="zh-CN"/>
              </w:rPr>
            </w:pPr>
            <w:r>
              <w:rPr>
                <w:rFonts w:hint="default" w:ascii="Times New Roman" w:hAnsi="Times New Roman" w:cs="Times New Roman"/>
                <w:sz w:val="24"/>
                <w:szCs w:val="24"/>
                <w:lang w:val="en-US" w:eastAsia="zh-CN"/>
              </w:rPr>
              <w:t>在绿色制造方面，公司一方面持续紧密围绕市场需求与效益核心，构建开放式创新体系，通过储能技术与数字技术融合，赋予产品绿色化、智能化特性，从而对传统产品进行绿智升级；另一方面，持续深度践行ESG治理，贯彻“以“碳排查”、“碳足迹”以及“能源管理”为核心的碳管理体系，开展产品生命周期的碳足迹核查，识别和改进各个环节节碳减排的机会，在全公司范围内持续推行绿色设计和清洁生产，打造智能制造车间。到目前为止，公司及子公司金城车辆</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今创风挡均被认定为常州市绿色工厂，并拥有多个省、市级智能制造车间。</w:t>
            </w:r>
          </w:p>
        </w:tc>
      </w:tr>
      <w:tr w14:paraId="6AB1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36" w:type="dxa"/>
            <w:vAlign w:val="center"/>
          </w:tcPr>
          <w:p w14:paraId="0DF53CAF">
            <w:pPr>
              <w:spacing w:line="400" w:lineRule="exact"/>
              <w:rPr>
                <w:rFonts w:ascii="Times" w:hAnsi="Times"/>
                <w:sz w:val="24"/>
                <w:szCs w:val="24"/>
              </w:rPr>
            </w:pPr>
            <w:r>
              <w:rPr>
                <w:rFonts w:hint="eastAsia" w:ascii="Times" w:hAnsi="Times"/>
                <w:sz w:val="24"/>
                <w:szCs w:val="24"/>
              </w:rPr>
              <w:t>附件清单（如有）</w:t>
            </w:r>
          </w:p>
        </w:tc>
        <w:tc>
          <w:tcPr>
            <w:tcW w:w="6486" w:type="dxa"/>
            <w:vAlign w:val="center"/>
          </w:tcPr>
          <w:p w14:paraId="0A760966">
            <w:pPr>
              <w:pStyle w:val="8"/>
              <w:numPr>
                <w:ilvl w:val="0"/>
                <w:numId w:val="0"/>
              </w:numPr>
              <w:spacing w:line="400" w:lineRule="exact"/>
              <w:ind w:leftChars="0"/>
              <w:rPr>
                <w:rFonts w:ascii="Times" w:hAnsi="Times"/>
                <w:sz w:val="24"/>
                <w:szCs w:val="24"/>
              </w:rPr>
            </w:pPr>
          </w:p>
        </w:tc>
      </w:tr>
    </w:tbl>
    <w:p w14:paraId="1B7479BD">
      <w:pPr>
        <w:spacing w:line="400" w:lineRule="exact"/>
        <w:jc w:val="right"/>
        <w:rPr>
          <w:rFonts w:ascii="Times" w:hAnsi="Times" w:eastAsia="宋体"/>
          <w:sz w:val="24"/>
          <w:szCs w:val="24"/>
        </w:rPr>
      </w:pPr>
    </w:p>
    <w:p w14:paraId="6B2AEE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8BDD2"/>
    <w:multiLevelType w:val="singleLevel"/>
    <w:tmpl w:val="A848BDD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464405"/>
    <w:rsid w:val="000C39EE"/>
    <w:rsid w:val="00114F40"/>
    <w:rsid w:val="001E2708"/>
    <w:rsid w:val="00460D83"/>
    <w:rsid w:val="00464405"/>
    <w:rsid w:val="007D39B3"/>
    <w:rsid w:val="009008FB"/>
    <w:rsid w:val="00910508"/>
    <w:rsid w:val="00BB40B8"/>
    <w:rsid w:val="00C63AD8"/>
    <w:rsid w:val="00C715AD"/>
    <w:rsid w:val="00D36AF0"/>
    <w:rsid w:val="00E52B45"/>
    <w:rsid w:val="082E65C5"/>
    <w:rsid w:val="0A395367"/>
    <w:rsid w:val="0B3C154F"/>
    <w:rsid w:val="0F1F049A"/>
    <w:rsid w:val="137F4BD8"/>
    <w:rsid w:val="155816EA"/>
    <w:rsid w:val="1C8B1061"/>
    <w:rsid w:val="24D334FA"/>
    <w:rsid w:val="29F60DE0"/>
    <w:rsid w:val="2F379C5F"/>
    <w:rsid w:val="3F125028"/>
    <w:rsid w:val="405A7CCC"/>
    <w:rsid w:val="4A9F4C14"/>
    <w:rsid w:val="4AF56782"/>
    <w:rsid w:val="51002139"/>
    <w:rsid w:val="5A9771AD"/>
    <w:rsid w:val="5CBB35B4"/>
    <w:rsid w:val="63D96E02"/>
    <w:rsid w:val="63F61C71"/>
    <w:rsid w:val="643D7C1C"/>
    <w:rsid w:val="7621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2285</Words>
  <Characters>2321</Characters>
  <Lines>38</Lines>
  <Paragraphs>10</Paragraphs>
  <TotalTime>25</TotalTime>
  <ScaleCrop>false</ScaleCrop>
  <LinksUpToDate>false</LinksUpToDate>
  <CharactersWithSpaces>2389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2020-11-03T08:39:00Z</dcterms:created>
  <dc:creator>个人用户</dc:creator>
  <cp:lastModifiedBy>高锋</cp:lastModifiedBy>
  <cp:lastPrinted>2024-01-15T18:09:00Z</cp:lastPrinted>
  <dcterms:modified xsi:type="dcterms:W3CDTF">2025-06-27T06:33:14Z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DBF46416252E48848E001EB4DC5A8E48_13</vt:lpwstr>
  </property>
  <property fmtid="{D5CDD505-2E9C-101B-9397-08002B2CF9AE}" pid="4" name="KSOTemplateDocerSaveRecord">
    <vt:lpwstr>eyJoZGlkIjoiNDUwMTFkMDI3ZjBmZjczM2Q3M2EwOGI5M2VjYzUzMDkiLCJ1c2VySWQiOiIzODUzMDY0NTYifQ==</vt:lpwstr>
  </property>
</Properties>
</file>