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F682">
      <w:pPr>
        <w:rPr>
          <w:rFonts w:ascii="宋体" w:hAnsi="宋体" w:eastAsia="宋体" w:cs="宋体"/>
          <w:spacing w:val="-4"/>
          <w:sz w:val="24"/>
          <w:szCs w:val="24"/>
        </w:rPr>
      </w:pPr>
      <w:r>
        <w:rPr>
          <w:rFonts w:hint="eastAsia" w:ascii="宋体" w:hAnsi="宋体" w:eastAsia="宋体" w:cs="宋体"/>
          <w:spacing w:val="-8"/>
          <w:sz w:val="24"/>
          <w:szCs w:val="24"/>
        </w:rPr>
        <w:t>证券代码</w:t>
      </w:r>
      <w:r>
        <w:rPr>
          <w:rFonts w:hint="eastAsia" w:ascii="宋体" w:hAnsi="宋体" w:eastAsia="宋体" w:cs="宋体"/>
          <w:spacing w:val="-5"/>
          <w:sz w:val="24"/>
          <w:szCs w:val="24"/>
        </w:rPr>
        <w:t>：</w:t>
      </w:r>
      <w:r>
        <w:rPr>
          <w:rFonts w:ascii="宋体" w:hAnsi="宋体" w:eastAsia="宋体" w:cs="Times New Roman"/>
          <w:spacing w:val="-4"/>
          <w:sz w:val="24"/>
          <w:szCs w:val="24"/>
        </w:rPr>
        <w:t xml:space="preserve">688137 </w:t>
      </w:r>
      <w:r>
        <w:rPr>
          <w:rFonts w:hint="eastAsia" w:ascii="宋体" w:hAnsi="宋体" w:eastAsia="宋体" w:cs="宋体"/>
          <w:spacing w:val="-4"/>
          <w:sz w:val="24"/>
          <w:szCs w:val="24"/>
        </w:rPr>
        <w:t xml:space="preserve">                                              证券简称：近岸蛋白                </w:t>
      </w:r>
    </w:p>
    <w:p w14:paraId="455E34AF">
      <w:pPr>
        <w:spacing w:before="280" w:line="219" w:lineRule="auto"/>
        <w:ind w:left="580"/>
        <w:rPr>
          <w:rFonts w:ascii="宋体" w:hAnsi="宋体" w:eastAsia="宋体" w:cs="宋体"/>
          <w:spacing w:val="-4"/>
          <w:sz w:val="15"/>
          <w:szCs w:val="15"/>
        </w:rPr>
      </w:pPr>
    </w:p>
    <w:p w14:paraId="4B764C5B">
      <w:pPr>
        <w:spacing w:line="360" w:lineRule="auto"/>
        <w:jc w:val="center"/>
        <w:rPr>
          <w:rFonts w:ascii="宋体" w:hAnsi="宋体" w:eastAsia="宋体" w:cs="宋体"/>
          <w:b/>
          <w:bCs/>
          <w:spacing w:val="-10"/>
          <w:sz w:val="32"/>
          <w:szCs w:val="32"/>
        </w:rPr>
      </w:pPr>
      <w:r>
        <w:rPr>
          <w:rFonts w:hint="eastAsia" w:ascii="宋体" w:hAnsi="宋体" w:eastAsia="宋体" w:cs="宋体"/>
          <w:b/>
          <w:bCs/>
          <w:spacing w:val="-10"/>
          <w:sz w:val="32"/>
          <w:szCs w:val="32"/>
        </w:rPr>
        <w:t>苏州近岸蛋白质科技股份有限公司</w:t>
      </w:r>
    </w:p>
    <w:p w14:paraId="4FAD2A80">
      <w:pPr>
        <w:spacing w:line="360" w:lineRule="auto"/>
        <w:jc w:val="center"/>
        <w:rPr>
          <w:rFonts w:ascii="宋体" w:hAnsi="宋体" w:eastAsia="宋体" w:cs="宋体"/>
          <w:b/>
          <w:bCs/>
          <w:spacing w:val="-10"/>
          <w:sz w:val="32"/>
          <w:szCs w:val="32"/>
        </w:rPr>
      </w:pPr>
      <w:bookmarkStart w:id="0" w:name="_GoBack"/>
      <w:bookmarkEnd w:id="0"/>
      <w:r>
        <w:rPr>
          <w:rFonts w:hint="eastAsia" w:ascii="宋体" w:hAnsi="宋体" w:eastAsia="宋体" w:cs="宋体"/>
          <w:b/>
          <w:bCs/>
          <w:spacing w:val="-10"/>
          <w:sz w:val="32"/>
          <w:szCs w:val="32"/>
        </w:rPr>
        <w:t>投资者关系活动记录表</w:t>
      </w:r>
    </w:p>
    <w:p w14:paraId="67BE2178">
      <w:pPr>
        <w:spacing w:line="360" w:lineRule="auto"/>
        <w:jc w:val="right"/>
        <w:rPr>
          <w:rFonts w:hint="eastAsia" w:ascii="宋体" w:hAnsi="宋体" w:eastAsia="宋体" w:cs="宋体"/>
          <w:b/>
          <w:bCs/>
          <w:spacing w:val="-10"/>
          <w:sz w:val="32"/>
          <w:szCs w:val="32"/>
          <w:highlight w:val="none"/>
        </w:rPr>
      </w:pPr>
      <w:r>
        <w:rPr>
          <w:rFonts w:hint="eastAsia" w:ascii="宋体" w:hAnsi="宋体" w:eastAsia="宋体" w:cs="宋体"/>
          <w:spacing w:val="-11"/>
          <w:sz w:val="24"/>
          <w:szCs w:val="24"/>
        </w:rPr>
        <w:t>编号：</w:t>
      </w:r>
      <w:r>
        <w:rPr>
          <w:rFonts w:hint="eastAsia" w:ascii="宋体" w:hAnsi="宋体" w:eastAsia="宋体" w:cs="宋体"/>
          <w:spacing w:val="-11"/>
          <w:sz w:val="24"/>
          <w:szCs w:val="24"/>
          <w:highlight w:val="none"/>
        </w:rPr>
        <w:t>20</w:t>
      </w:r>
      <w:r>
        <w:rPr>
          <w:rFonts w:hint="eastAsia" w:ascii="宋体" w:hAnsi="宋体" w:eastAsia="宋体" w:cs="宋体"/>
          <w:spacing w:val="-11"/>
          <w:sz w:val="24"/>
          <w:szCs w:val="24"/>
          <w:highlight w:val="none"/>
          <w:lang w:val="en-US" w:eastAsia="zh-CN"/>
        </w:rPr>
        <w:t>25</w:t>
      </w:r>
      <w:r>
        <w:rPr>
          <w:rFonts w:hint="eastAsia" w:ascii="宋体" w:hAnsi="宋体" w:eastAsia="宋体" w:cs="宋体"/>
          <w:spacing w:val="-11"/>
          <w:sz w:val="24"/>
          <w:szCs w:val="24"/>
          <w:highlight w:val="none"/>
        </w:rPr>
        <w:t>-001</w:t>
      </w:r>
    </w:p>
    <w:tbl>
      <w:tblPr>
        <w:tblStyle w:val="8"/>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3"/>
        <w:gridCol w:w="7579"/>
      </w:tblGrid>
      <w:tr w14:paraId="2F1F3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923" w:type="dxa"/>
            <w:vAlign w:val="center"/>
          </w:tcPr>
          <w:p w14:paraId="37EEBD83">
            <w:pPr>
              <w:spacing w:before="210" w:line="377" w:lineRule="auto"/>
              <w:ind w:left="120" w:right="106"/>
              <w:jc w:val="center"/>
              <w:rPr>
                <w:rFonts w:ascii="宋体" w:hAnsi="宋体" w:eastAsia="宋体" w:cs="宋体"/>
                <w:sz w:val="24"/>
                <w:szCs w:val="24"/>
              </w:rPr>
            </w:pPr>
            <w:r>
              <w:rPr>
                <w:rFonts w:ascii="宋体" w:hAnsi="宋体" w:eastAsia="宋体" w:cs="Times New Roman"/>
                <w:sz w:val="24"/>
                <w:szCs w:val="24"/>
              </w:rPr>
              <w:t>投资者关系活动类别</w:t>
            </w:r>
          </w:p>
        </w:tc>
        <w:tc>
          <w:tcPr>
            <w:tcW w:w="7579" w:type="dxa"/>
          </w:tcPr>
          <w:p w14:paraId="654EBCC1">
            <w:pPr>
              <w:spacing w:before="161" w:line="219" w:lineRule="auto"/>
              <w:ind w:left="138"/>
              <w:rPr>
                <w:rFonts w:ascii="宋体" w:hAnsi="宋体" w:eastAsia="宋体" w:cs="宋体"/>
                <w:spacing w:val="-2"/>
                <w:sz w:val="24"/>
                <w:szCs w:val="24"/>
              </w:rPr>
            </w:pPr>
            <w:r>
              <w:rPr>
                <w:rFonts w:ascii="宋体" w:hAnsi="宋体" w:eastAsia="宋体" w:cs="宋体"/>
                <w:spacing w:val="-2"/>
                <w:sz w:val="24"/>
                <w:szCs w:val="24"/>
              </w:rPr>
              <w:t>□特定对象调研</w:t>
            </w:r>
            <w:r>
              <w:rPr>
                <w:rFonts w:hint="eastAsia" w:ascii="宋体" w:hAnsi="宋体" w:eastAsia="宋体" w:cs="宋体"/>
                <w:spacing w:val="-2"/>
                <w:sz w:val="24"/>
                <w:szCs w:val="24"/>
              </w:rPr>
              <w:t xml:space="preserve">       </w:t>
            </w:r>
            <w:r>
              <w:rPr>
                <w:rFonts w:ascii="宋体" w:hAnsi="宋体" w:eastAsia="宋体" w:cs="宋体"/>
                <w:spacing w:val="-2"/>
                <w:sz w:val="24"/>
                <w:szCs w:val="24"/>
              </w:rPr>
              <w:sym w:font="Wingdings 2" w:char="00A3"/>
            </w:r>
            <w:r>
              <w:rPr>
                <w:rFonts w:ascii="宋体" w:hAnsi="宋体" w:eastAsia="宋体" w:cs="宋体"/>
                <w:spacing w:val="-2"/>
                <w:sz w:val="24"/>
                <w:szCs w:val="24"/>
              </w:rPr>
              <w:t>分析师会议</w:t>
            </w:r>
          </w:p>
          <w:p w14:paraId="6C343AD5">
            <w:pPr>
              <w:spacing w:before="161" w:line="219" w:lineRule="auto"/>
              <w:ind w:left="138"/>
              <w:rPr>
                <w:rFonts w:ascii="宋体" w:hAnsi="宋体" w:eastAsia="宋体" w:cs="宋体"/>
                <w:spacing w:val="-2"/>
                <w:sz w:val="24"/>
                <w:szCs w:val="24"/>
              </w:rPr>
            </w:pPr>
            <w:r>
              <w:rPr>
                <w:rFonts w:ascii="宋体" w:hAnsi="宋体" w:eastAsia="宋体" w:cs="宋体"/>
                <w:spacing w:val="-2"/>
                <w:sz w:val="24"/>
                <w:szCs w:val="24"/>
              </w:rPr>
              <w:t>□媒体采访</w:t>
            </w:r>
            <w:r>
              <w:rPr>
                <w:rFonts w:hint="eastAsia" w:ascii="宋体" w:hAnsi="宋体" w:eastAsia="宋体" w:cs="宋体"/>
                <w:spacing w:val="-2"/>
                <w:sz w:val="24"/>
                <w:szCs w:val="24"/>
              </w:rPr>
              <w:t xml:space="preserve">           </w:t>
            </w:r>
            <w:r>
              <w:rPr>
                <w:rFonts w:ascii="宋体" w:hAnsi="宋体" w:eastAsia="宋体" w:cs="宋体"/>
                <w:spacing w:val="-2"/>
                <w:sz w:val="24"/>
                <w:szCs w:val="24"/>
              </w:rPr>
              <w:sym w:font="Wingdings 2" w:char="0052"/>
            </w:r>
            <w:r>
              <w:rPr>
                <w:rFonts w:ascii="宋体" w:hAnsi="宋体" w:eastAsia="宋体" w:cs="宋体"/>
                <w:spacing w:val="-2"/>
                <w:sz w:val="24"/>
                <w:szCs w:val="24"/>
              </w:rPr>
              <w:t>业绩说明会</w:t>
            </w:r>
          </w:p>
          <w:p w14:paraId="06077B1C">
            <w:pPr>
              <w:spacing w:before="161" w:line="219" w:lineRule="auto"/>
              <w:ind w:left="138"/>
              <w:rPr>
                <w:rFonts w:ascii="宋体" w:hAnsi="宋体" w:eastAsia="宋体" w:cs="宋体"/>
                <w:spacing w:val="-2"/>
                <w:sz w:val="24"/>
                <w:szCs w:val="24"/>
              </w:rPr>
            </w:pPr>
            <w:r>
              <w:rPr>
                <w:rFonts w:ascii="宋体" w:hAnsi="宋体" w:eastAsia="宋体" w:cs="宋体"/>
                <w:spacing w:val="-2"/>
                <w:sz w:val="24"/>
                <w:szCs w:val="24"/>
              </w:rPr>
              <w:t>□新闻发布会</w:t>
            </w:r>
            <w:r>
              <w:rPr>
                <w:rFonts w:hint="eastAsia" w:ascii="宋体" w:hAnsi="宋体" w:eastAsia="宋体" w:cs="宋体"/>
                <w:spacing w:val="-2"/>
                <w:sz w:val="24"/>
                <w:szCs w:val="24"/>
              </w:rPr>
              <w:t xml:space="preserve">         </w:t>
            </w:r>
            <w:r>
              <w:rPr>
                <w:rFonts w:ascii="宋体" w:hAnsi="宋体" w:eastAsia="宋体" w:cs="宋体"/>
                <w:spacing w:val="-2"/>
                <w:sz w:val="24"/>
                <w:szCs w:val="24"/>
              </w:rPr>
              <w:t>□路演活动</w:t>
            </w:r>
          </w:p>
          <w:p w14:paraId="46300AC5">
            <w:pPr>
              <w:spacing w:before="161" w:line="219" w:lineRule="auto"/>
              <w:ind w:left="138"/>
              <w:rPr>
                <w:rFonts w:ascii="宋体" w:hAnsi="宋体" w:eastAsia="宋体" w:cs="宋体"/>
                <w:spacing w:val="-2"/>
                <w:sz w:val="24"/>
                <w:szCs w:val="24"/>
              </w:rPr>
            </w:pPr>
            <w:r>
              <w:rPr>
                <w:rFonts w:ascii="宋体" w:hAnsi="宋体" w:eastAsia="宋体" w:cs="宋体"/>
                <w:spacing w:val="-2"/>
                <w:sz w:val="24"/>
                <w:szCs w:val="24"/>
              </w:rPr>
              <w:t>□现场参观</w:t>
            </w:r>
          </w:p>
          <w:p w14:paraId="7D4848A3">
            <w:pPr>
              <w:spacing w:before="161" w:line="219" w:lineRule="auto"/>
              <w:ind w:left="138"/>
              <w:rPr>
                <w:rFonts w:ascii="宋体" w:hAnsi="宋体" w:eastAsia="宋体" w:cs="宋体"/>
                <w:sz w:val="24"/>
                <w:szCs w:val="24"/>
              </w:rPr>
            </w:pPr>
            <w:r>
              <w:rPr>
                <w:rFonts w:ascii="宋体" w:hAnsi="宋体" w:eastAsia="宋体" w:cs="宋体"/>
                <w:spacing w:val="-2"/>
                <w:sz w:val="24"/>
                <w:szCs w:val="24"/>
              </w:rPr>
              <w:t>□其他</w:t>
            </w:r>
          </w:p>
        </w:tc>
      </w:tr>
      <w:tr w14:paraId="2094F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923" w:type="dxa"/>
            <w:vAlign w:val="center"/>
          </w:tcPr>
          <w:p w14:paraId="5013B37B">
            <w:pPr>
              <w:spacing w:before="210" w:line="377" w:lineRule="auto"/>
              <w:ind w:left="120" w:right="106"/>
              <w:jc w:val="center"/>
              <w:rPr>
                <w:rFonts w:ascii="宋体" w:hAnsi="宋体" w:eastAsia="宋体" w:cs="宋体"/>
                <w:sz w:val="24"/>
                <w:szCs w:val="24"/>
              </w:rPr>
            </w:pPr>
            <w:r>
              <w:rPr>
                <w:rFonts w:ascii="宋体" w:hAnsi="宋体" w:eastAsia="宋体" w:cs="Times New Roman"/>
                <w:sz w:val="24"/>
                <w:szCs w:val="24"/>
              </w:rPr>
              <w:t>参与单位名称及人员姓名</w:t>
            </w:r>
          </w:p>
        </w:tc>
        <w:tc>
          <w:tcPr>
            <w:tcW w:w="7579" w:type="dxa"/>
            <w:vAlign w:val="center"/>
          </w:tcPr>
          <w:p w14:paraId="5988A0BA">
            <w:pPr>
              <w:spacing w:line="214" w:lineRule="auto"/>
              <w:ind w:left="114"/>
              <w:jc w:val="both"/>
              <w:rPr>
                <w:rFonts w:ascii="宋体" w:hAnsi="宋体" w:eastAsia="宋体" w:cs="宋体"/>
                <w:sz w:val="24"/>
                <w:szCs w:val="24"/>
              </w:rPr>
            </w:pPr>
            <w:r>
              <w:rPr>
                <w:rFonts w:ascii="宋体" w:hAnsi="宋体" w:eastAsia="宋体" w:cs="宋体"/>
                <w:spacing w:val="-6"/>
                <w:sz w:val="24"/>
                <w:szCs w:val="24"/>
              </w:rPr>
              <w:t>全体通过网络互动方式参加本次说明会的投资者</w:t>
            </w:r>
          </w:p>
        </w:tc>
      </w:tr>
      <w:tr w14:paraId="5C396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 w:hRule="atLeast"/>
        </w:trPr>
        <w:tc>
          <w:tcPr>
            <w:tcW w:w="1923" w:type="dxa"/>
            <w:vAlign w:val="center"/>
          </w:tcPr>
          <w:p w14:paraId="19B1CF40">
            <w:pPr>
              <w:spacing w:before="207" w:line="377" w:lineRule="auto"/>
              <w:ind w:left="119" w:right="106"/>
              <w:jc w:val="center"/>
              <w:rPr>
                <w:rFonts w:hint="eastAsia" w:ascii="宋体" w:hAnsi="宋体" w:eastAsia="宋体" w:cs="宋体"/>
                <w:spacing w:val="-2"/>
                <w:sz w:val="24"/>
                <w:szCs w:val="24"/>
              </w:rPr>
            </w:pPr>
            <w:r>
              <w:rPr>
                <w:rFonts w:hint="eastAsia" w:ascii="宋体" w:hAnsi="宋体" w:eastAsia="宋体" w:cs="宋体"/>
                <w:spacing w:val="-2"/>
                <w:sz w:val="24"/>
                <w:szCs w:val="24"/>
              </w:rPr>
              <w:t>时间</w:t>
            </w:r>
          </w:p>
        </w:tc>
        <w:tc>
          <w:tcPr>
            <w:tcW w:w="7579" w:type="dxa"/>
            <w:tcMar>
              <w:top w:w="57" w:type="dxa"/>
              <w:left w:w="113" w:type="dxa"/>
              <w:bottom w:w="57" w:type="dxa"/>
              <w:right w:w="57" w:type="dxa"/>
            </w:tcMar>
            <w:vAlign w:val="center"/>
          </w:tcPr>
          <w:p w14:paraId="05C37BCA">
            <w:pPr>
              <w:spacing w:before="207" w:line="377" w:lineRule="auto"/>
              <w:ind w:left="119" w:right="106"/>
              <w:jc w:val="both"/>
              <w:rPr>
                <w:rFonts w:hint="eastAsia" w:ascii="宋体" w:hAnsi="宋体" w:eastAsia="宋体" w:cs="宋体"/>
                <w:spacing w:val="-2"/>
                <w:sz w:val="24"/>
                <w:szCs w:val="24"/>
              </w:rPr>
            </w:pPr>
            <w:r>
              <w:rPr>
                <w:rFonts w:hint="eastAsia"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年6月</w:t>
            </w:r>
            <w:r>
              <w:rPr>
                <w:rFonts w:hint="eastAsia" w:ascii="宋体" w:hAnsi="宋体" w:eastAsia="宋体" w:cs="宋体"/>
                <w:spacing w:val="-2"/>
                <w:sz w:val="24"/>
                <w:szCs w:val="24"/>
                <w:lang w:val="en-US" w:eastAsia="zh-CN"/>
              </w:rPr>
              <w:t>30</w:t>
            </w:r>
            <w:r>
              <w:rPr>
                <w:rFonts w:hint="eastAsia" w:ascii="宋体" w:hAnsi="宋体" w:eastAsia="宋体" w:cs="宋体"/>
                <w:spacing w:val="-2"/>
                <w:sz w:val="24"/>
                <w:szCs w:val="24"/>
              </w:rPr>
              <w:t>日下午1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:00-1</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:00</w:t>
            </w:r>
          </w:p>
        </w:tc>
      </w:tr>
      <w:tr w14:paraId="5F7E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23" w:type="dxa"/>
            <w:vAlign w:val="center"/>
          </w:tcPr>
          <w:p w14:paraId="3F268229">
            <w:pPr>
              <w:spacing w:before="207" w:line="377" w:lineRule="auto"/>
              <w:ind w:left="119" w:right="106"/>
              <w:jc w:val="center"/>
              <w:rPr>
                <w:rFonts w:ascii="宋体" w:hAnsi="宋体" w:eastAsia="宋体" w:cs="宋体"/>
                <w:spacing w:val="28"/>
                <w:sz w:val="24"/>
                <w:szCs w:val="24"/>
              </w:rPr>
            </w:pPr>
            <w:r>
              <w:rPr>
                <w:rFonts w:hint="eastAsia" w:ascii="宋体" w:hAnsi="宋体" w:eastAsia="宋体" w:cs="宋体"/>
                <w:spacing w:val="-2"/>
                <w:sz w:val="24"/>
                <w:szCs w:val="24"/>
              </w:rPr>
              <w:t>地点</w:t>
            </w:r>
          </w:p>
        </w:tc>
        <w:tc>
          <w:tcPr>
            <w:tcW w:w="7579" w:type="dxa"/>
            <w:vAlign w:val="center"/>
          </w:tcPr>
          <w:p w14:paraId="0F769285">
            <w:pPr>
              <w:spacing w:line="213" w:lineRule="auto"/>
              <w:ind w:left="114"/>
              <w:jc w:val="both"/>
              <w:rPr>
                <w:rFonts w:ascii="宋体" w:hAnsi="宋体" w:eastAsia="宋体" w:cs="宋体"/>
                <w:spacing w:val="-14"/>
                <w:sz w:val="24"/>
                <w:szCs w:val="24"/>
              </w:rPr>
            </w:pPr>
            <w:r>
              <w:rPr>
                <w:rFonts w:ascii="sans-serif" w:hAnsi="sans-serif" w:eastAsia="sans-serif" w:cs="sans-serif"/>
                <w:sz w:val="24"/>
                <w:szCs w:val="24"/>
                <w:woUserID w:val="1"/>
              </w:rPr>
              <w:t>价</w:t>
            </w:r>
            <w:r>
              <w:rPr>
                <w:rFonts w:hint="default" w:ascii="sans-serif" w:hAnsi="sans-serif" w:eastAsia="sans-serif" w:cs="sans-serif"/>
                <w:sz w:val="24"/>
                <w:szCs w:val="24"/>
                <w:woUserID w:val="1"/>
              </w:rPr>
              <w:t>值在线</w:t>
            </w:r>
            <w:r>
              <w:rPr>
                <w:rFonts w:ascii="宋体" w:hAnsi="宋体" w:eastAsia="宋体" w:cs="宋体"/>
                <w:sz w:val="24"/>
                <w:szCs w:val="24"/>
                <w:woUserID w:val="1"/>
              </w:rPr>
              <w:t xml:space="preserve"> </w:t>
            </w:r>
            <w:r>
              <w:rPr>
                <w:rFonts w:ascii="宋体" w:hAnsi="宋体" w:eastAsia="宋体" w:cs="宋体"/>
                <w:spacing w:val="-6"/>
                <w:sz w:val="24"/>
                <w:szCs w:val="24"/>
              </w:rPr>
              <w:t>（</w:t>
            </w:r>
            <w:r>
              <w:rPr>
                <w:rFonts w:hint="eastAsia" w:ascii="宋体" w:hAnsi="宋体" w:eastAsia="宋体" w:cs="宋体"/>
                <w:spacing w:val="-6"/>
                <w:sz w:val="24"/>
                <w:szCs w:val="24"/>
              </w:rPr>
              <w:t>网址：</w:t>
            </w:r>
            <w:r>
              <w:rPr>
                <w:rFonts w:hint="eastAsia" w:ascii="宋体" w:hAnsi="宋体" w:eastAsia="宋体" w:cs="宋体"/>
                <w:sz w:val="24"/>
                <w:szCs w:val="24"/>
                <w:woUserID w:val="1"/>
              </w:rPr>
              <w:t>www.ir-online.cn</w:t>
            </w:r>
            <w:r>
              <w:rPr>
                <w:rFonts w:ascii="宋体" w:hAnsi="宋体" w:eastAsia="宋体" w:cs="宋体"/>
                <w:spacing w:val="-6"/>
                <w:sz w:val="24"/>
                <w:szCs w:val="24"/>
              </w:rPr>
              <w:t>）</w:t>
            </w:r>
          </w:p>
        </w:tc>
      </w:tr>
      <w:tr w14:paraId="0677A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923" w:type="dxa"/>
            <w:vAlign w:val="center"/>
          </w:tcPr>
          <w:p w14:paraId="18996134">
            <w:pPr>
              <w:spacing w:before="207" w:line="377" w:lineRule="auto"/>
              <w:ind w:left="119" w:right="106"/>
              <w:jc w:val="center"/>
              <w:rPr>
                <w:rFonts w:ascii="宋体" w:hAnsi="宋体" w:eastAsia="宋体" w:cs="宋体"/>
                <w:sz w:val="24"/>
                <w:szCs w:val="24"/>
              </w:rPr>
            </w:pPr>
            <w:r>
              <w:rPr>
                <w:rFonts w:hint="eastAsia" w:ascii="宋体" w:hAnsi="宋体" w:eastAsia="宋体" w:cs="宋体"/>
                <w:spacing w:val="26"/>
                <w:sz w:val="24"/>
                <w:szCs w:val="24"/>
              </w:rPr>
              <w:t>上市公司</w:t>
            </w:r>
            <w:r>
              <w:rPr>
                <w:rFonts w:ascii="宋体" w:hAnsi="宋体" w:eastAsia="宋体" w:cs="宋体"/>
                <w:spacing w:val="26"/>
                <w:sz w:val="24"/>
                <w:szCs w:val="24"/>
              </w:rPr>
              <w:t>接</w:t>
            </w:r>
            <w:r>
              <w:rPr>
                <w:rFonts w:ascii="宋体" w:hAnsi="宋体" w:eastAsia="宋体" w:cs="宋体"/>
                <w:spacing w:val="-2"/>
                <w:sz w:val="24"/>
                <w:szCs w:val="24"/>
              </w:rPr>
              <w:t>待人员</w:t>
            </w:r>
            <w:r>
              <w:rPr>
                <w:rFonts w:hint="eastAsia" w:ascii="宋体" w:hAnsi="宋体" w:eastAsia="宋体" w:cs="宋体"/>
                <w:spacing w:val="-2"/>
                <w:sz w:val="24"/>
                <w:szCs w:val="24"/>
              </w:rPr>
              <w:t>姓名</w:t>
            </w:r>
          </w:p>
        </w:tc>
        <w:tc>
          <w:tcPr>
            <w:tcW w:w="7579" w:type="dxa"/>
            <w:tcMar>
              <w:top w:w="57" w:type="dxa"/>
              <w:left w:w="113" w:type="dxa"/>
              <w:bottom w:w="57" w:type="dxa"/>
              <w:right w:w="57" w:type="dxa"/>
            </w:tcMar>
            <w:vAlign w:val="center"/>
          </w:tcPr>
          <w:p w14:paraId="1698733B">
            <w:pPr>
              <w:spacing w:line="360" w:lineRule="auto"/>
              <w:jc w:val="both"/>
              <w:rPr>
                <w:rFonts w:ascii="宋体" w:hAnsi="宋体" w:eastAsia="宋体" w:cs="Times New Roman"/>
                <w:sz w:val="24"/>
                <w:szCs w:val="24"/>
              </w:rPr>
            </w:pPr>
            <w:r>
              <w:rPr>
                <w:rFonts w:ascii="宋体" w:hAnsi="宋体" w:eastAsia="宋体" w:cs="Times New Roman"/>
                <w:sz w:val="24"/>
                <w:szCs w:val="24"/>
              </w:rPr>
              <w:t>董事长、总经理：</w:t>
            </w:r>
            <w:r>
              <w:rPr>
                <w:rFonts w:hint="eastAsia" w:ascii="宋体" w:hAnsi="宋体" w:eastAsia="宋体" w:cs="Times New Roman"/>
                <w:sz w:val="24"/>
                <w:szCs w:val="24"/>
              </w:rPr>
              <w:t>朱化星先生</w:t>
            </w:r>
          </w:p>
          <w:p w14:paraId="5D9EB1A4">
            <w:pPr>
              <w:spacing w:line="360" w:lineRule="auto"/>
              <w:jc w:val="both"/>
              <w:rPr>
                <w:rFonts w:ascii="宋体" w:hAnsi="宋体" w:eastAsia="宋体" w:cs="Times New Roman"/>
                <w:sz w:val="24"/>
                <w:szCs w:val="24"/>
              </w:rPr>
            </w:pPr>
            <w:r>
              <w:rPr>
                <w:rFonts w:ascii="宋体" w:hAnsi="宋体" w:eastAsia="宋体" w:cs="Times New Roman"/>
                <w:sz w:val="24"/>
                <w:szCs w:val="24"/>
              </w:rPr>
              <w:t>董事、</w:t>
            </w:r>
            <w:r>
              <w:rPr>
                <w:rFonts w:hint="eastAsia" w:ascii="宋体" w:hAnsi="宋体" w:eastAsia="宋体" w:cs="Times New Roman"/>
                <w:sz w:val="24"/>
                <w:szCs w:val="24"/>
              </w:rPr>
              <w:t>副总经理、</w:t>
            </w:r>
            <w:r>
              <w:rPr>
                <w:rFonts w:ascii="宋体" w:hAnsi="宋体" w:eastAsia="宋体" w:cs="Times New Roman"/>
                <w:sz w:val="24"/>
                <w:szCs w:val="24"/>
              </w:rPr>
              <w:t>董事会秘书：</w:t>
            </w:r>
            <w:r>
              <w:rPr>
                <w:rFonts w:hint="eastAsia" w:ascii="宋体" w:hAnsi="宋体" w:eastAsia="宋体" w:cs="Times New Roman"/>
                <w:sz w:val="24"/>
                <w:szCs w:val="24"/>
              </w:rPr>
              <w:t>王笃强先生</w:t>
            </w:r>
          </w:p>
          <w:p w14:paraId="6EF18B78">
            <w:pPr>
              <w:spacing w:line="360" w:lineRule="auto"/>
              <w:rPr>
                <w:rFonts w:ascii="宋体" w:hAnsi="宋体" w:eastAsia="宋体" w:cs="宋体"/>
                <w:sz w:val="24"/>
                <w:szCs w:val="24"/>
              </w:rPr>
            </w:pPr>
            <w:r>
              <w:rPr>
                <w:rFonts w:hint="eastAsia" w:ascii="宋体" w:hAnsi="宋体" w:eastAsia="宋体" w:cs="Times New Roman"/>
                <w:sz w:val="24"/>
                <w:szCs w:val="24"/>
              </w:rPr>
              <w:t>财务总监</w:t>
            </w:r>
            <w:r>
              <w:rPr>
                <w:rFonts w:ascii="宋体" w:hAnsi="宋体" w:eastAsia="宋体" w:cs="Times New Roman"/>
                <w:sz w:val="24"/>
                <w:szCs w:val="24"/>
              </w:rPr>
              <w:t>：</w:t>
            </w:r>
            <w:r>
              <w:rPr>
                <w:rFonts w:hint="eastAsia" w:ascii="宋体" w:hAnsi="宋体" w:eastAsia="宋体" w:cs="Times New Roman"/>
                <w:sz w:val="24"/>
                <w:szCs w:val="24"/>
              </w:rPr>
              <w:t>张冬叶先生</w:t>
            </w:r>
          </w:p>
        </w:tc>
      </w:tr>
      <w:tr w14:paraId="6C8F4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23" w:type="dxa"/>
            <w:vAlign w:val="center"/>
          </w:tcPr>
          <w:p w14:paraId="683E585C">
            <w:pPr>
              <w:spacing w:before="207" w:line="377" w:lineRule="auto"/>
              <w:ind w:left="119" w:right="106"/>
              <w:jc w:val="center"/>
              <w:rPr>
                <w:rFonts w:ascii="宋体" w:hAnsi="宋体" w:eastAsia="宋体" w:cs="宋体"/>
                <w:spacing w:val="26"/>
                <w:sz w:val="24"/>
                <w:szCs w:val="24"/>
              </w:rPr>
            </w:pPr>
            <w:r>
              <w:rPr>
                <w:rFonts w:ascii="宋体" w:hAnsi="宋体" w:eastAsia="宋体" w:cs="Times New Roman"/>
                <w:sz w:val="24"/>
                <w:szCs w:val="24"/>
              </w:rPr>
              <w:t>投资者关系活动主要内容介绍</w:t>
            </w:r>
          </w:p>
        </w:tc>
        <w:tc>
          <w:tcPr>
            <w:tcW w:w="7579" w:type="dxa"/>
            <w:tcMar>
              <w:top w:w="57" w:type="dxa"/>
              <w:left w:w="85" w:type="dxa"/>
              <w:bottom w:w="57" w:type="dxa"/>
              <w:right w:w="85" w:type="dxa"/>
            </w:tcMar>
          </w:tcPr>
          <w:p w14:paraId="3CBE4289">
            <w:pPr>
              <w:spacing w:line="360" w:lineRule="auto"/>
              <w:ind w:firstLine="480" w:firstLineChars="200"/>
              <w:jc w:val="both"/>
              <w:rPr>
                <w:rFonts w:hint="default" w:ascii="宋体" w:hAnsi="宋体" w:eastAsia="宋体" w:cs="宋体"/>
                <w:sz w:val="24"/>
                <w:szCs w:val="24"/>
                <w:woUserID w:val="1"/>
              </w:rPr>
            </w:pPr>
            <w:r>
              <w:rPr>
                <w:rFonts w:hint="eastAsia" w:ascii="宋体" w:hAnsi="宋体" w:eastAsia="宋体" w:cs="宋体"/>
                <w:sz w:val="24"/>
                <w:szCs w:val="24"/>
                <w:woUserID w:val="1"/>
              </w:rPr>
              <w:t>本次业绩说明会采用网络互动方式举行，公司严格按照相关规定，与参会投资者进行了充分的交流与沟通，没有出现未公开重大信息泄露等情况。主要内容</w:t>
            </w:r>
            <w:r>
              <w:rPr>
                <w:rFonts w:hint="default" w:ascii="宋体" w:hAnsi="宋体" w:eastAsia="宋体" w:cs="宋体"/>
                <w:sz w:val="24"/>
                <w:szCs w:val="24"/>
                <w:woUserID w:val="1"/>
              </w:rPr>
              <w:t>如下：</w:t>
            </w:r>
          </w:p>
          <w:p w14:paraId="10267E50">
            <w:pPr>
              <w:spacing w:line="360" w:lineRule="auto"/>
              <w:ind w:firstLine="482" w:firstLineChars="200"/>
              <w:jc w:val="both"/>
              <w:rPr>
                <w:rFonts w:ascii="宋体" w:hAnsi="宋体" w:eastAsia="宋体" w:cs="Times New Roman"/>
                <w:b/>
                <w:bCs/>
                <w:sz w:val="24"/>
                <w:szCs w:val="24"/>
              </w:rPr>
            </w:pPr>
            <w:r>
              <w:rPr>
                <w:rFonts w:ascii="宋体" w:hAnsi="宋体" w:eastAsia="宋体" w:cs="Times New Roman"/>
                <w:b/>
                <w:bCs/>
                <w:sz w:val="24"/>
                <w:szCs w:val="24"/>
              </w:rPr>
              <w:t>问题1：</w:t>
            </w:r>
            <w:r>
              <w:rPr>
                <w:rFonts w:hint="eastAsia" w:ascii="宋体" w:hAnsi="宋体" w:eastAsia="宋体" w:cs="Times New Roman"/>
                <w:b/>
                <w:bCs/>
                <w:sz w:val="24"/>
                <w:szCs w:val="24"/>
              </w:rPr>
              <w:t>尊敬的朱董事长你好，去年公司公告回购注销维稳市值，最高价仅仅30.6元，距离发行价106差距这么大，转眼快一年了，并没有实施该回购。请问30.6的股价是否过低了？对比106元的发行价，公司回购注销的诚意怎么体现？建议回购注销价不高于发行价，公司能否采纳我们小股东的意见？</w:t>
            </w:r>
          </w:p>
          <w:p w14:paraId="670FED6D">
            <w:pPr>
              <w:kinsoku/>
              <w:spacing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答：</w:t>
            </w:r>
            <w:r>
              <w:rPr>
                <w:rFonts w:hint="eastAsia" w:ascii="宋体" w:hAnsi="宋体" w:eastAsia="宋体" w:cs="Times New Roman"/>
                <w:sz w:val="24"/>
                <w:szCs w:val="24"/>
              </w:rPr>
              <w:t>尊敬的投资者，您好！公司关于破净回购注销系根据招股说明书公开披露的承诺履行。目前生物医药行业有回暖趋势，客观因素的影响已逐步消除，公司未来将继续坚持加强研发能力建设，巩固公司技术优势，持续推动公司不同模块的产品销售与服务业务，积极维护投资者的权益。同时公司也会根据市场经营环境的变化，适时考虑其他回购事项。具体回购事项以公司公告为准。感谢您对近岸蛋白的关注！</w:t>
            </w:r>
          </w:p>
          <w:p w14:paraId="053A260B">
            <w:pPr>
              <w:spacing w:line="360" w:lineRule="auto"/>
              <w:ind w:firstLine="482" w:firstLineChars="200"/>
              <w:jc w:val="both"/>
              <w:rPr>
                <w:rFonts w:ascii="宋体" w:hAnsi="宋体" w:eastAsia="宋体" w:cs="Times New Roman"/>
                <w:b/>
                <w:bCs/>
                <w:i/>
                <w:iCs/>
                <w:sz w:val="24"/>
                <w:szCs w:val="24"/>
              </w:rPr>
            </w:pPr>
            <w:r>
              <w:rPr>
                <w:rFonts w:ascii="宋体" w:hAnsi="宋体" w:eastAsia="宋体" w:cs="Times New Roman"/>
                <w:b/>
                <w:bCs/>
                <w:sz w:val="24"/>
                <w:szCs w:val="24"/>
              </w:rPr>
              <w:t>问题2：</w:t>
            </w:r>
            <w:r>
              <w:rPr>
                <w:rFonts w:hint="eastAsia" w:ascii="宋体" w:hAnsi="宋体" w:eastAsia="宋体" w:cs="Times New Roman"/>
                <w:b/>
                <w:bCs/>
                <w:sz w:val="24"/>
                <w:szCs w:val="24"/>
              </w:rPr>
              <w:t>朱董你好，公司有意愿寻找有协同性或者互补性的并购标的，寻求外延式扩张增长机会，请问公司会考虑上下游产业链的并购重组机会吗？比如创新药。</w:t>
            </w:r>
          </w:p>
          <w:p w14:paraId="2B780965">
            <w:pPr>
              <w:spacing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答：</w:t>
            </w:r>
            <w:r>
              <w:rPr>
                <w:rFonts w:hint="eastAsia" w:ascii="宋体" w:hAnsi="宋体" w:eastAsia="宋体" w:cs="Times New Roman"/>
                <w:sz w:val="24"/>
                <w:szCs w:val="24"/>
              </w:rPr>
              <w:t>尊敬的投资者，您好！公司根据自身发展战略，结合业务结构，积极寻找协同性或互补性的并购标的，以寻求外延式增长机会。公司专注于蛋白质工具创新和蛋白质应用，为创新药物研发企业和其他生命健康应用企业提供及时、稳定、优质的产品及服务。公司基于上万种重组蛋白开发和服务经验，在大量靶点蛋白原料和抗体开发技术平台基础上，结合mRNA相关技术，为细胞治疗药物、基因治疗药物、抗体药物、抗体偶联药物（ADC）开发提供多种全流程解决方案，加速生物药企业创新与研发进程。公司目前没有创新药物相关重组并购的考虑，后续如有相关规划，将根据监管规则及时履行信息披露义务。感谢您对近岸蛋白的关注！</w:t>
            </w:r>
          </w:p>
          <w:p w14:paraId="548DE613">
            <w:pPr>
              <w:kinsoku/>
              <w:spacing w:line="360" w:lineRule="auto"/>
              <w:ind w:firstLine="482" w:firstLineChars="200"/>
              <w:jc w:val="both"/>
              <w:rPr>
                <w:rFonts w:ascii="宋体" w:hAnsi="宋体" w:eastAsia="宋体" w:cs="Times New Roman"/>
                <w:b/>
                <w:bCs/>
                <w:sz w:val="24"/>
                <w:szCs w:val="24"/>
              </w:rPr>
            </w:pPr>
            <w:r>
              <w:rPr>
                <w:rFonts w:ascii="宋体" w:hAnsi="宋体" w:eastAsia="宋体" w:cs="Times New Roman"/>
                <w:b/>
                <w:bCs/>
                <w:sz w:val="24"/>
                <w:szCs w:val="24"/>
              </w:rPr>
              <w:t>问题3：</w:t>
            </w:r>
            <w:r>
              <w:rPr>
                <w:rFonts w:hint="eastAsia" w:ascii="宋体" w:hAnsi="宋体" w:eastAsia="宋体" w:cs="Times New Roman"/>
                <w:b/>
                <w:bCs/>
                <w:sz w:val="24"/>
                <w:szCs w:val="24"/>
              </w:rPr>
              <w:t>目前公司在海外市场业务拓展情况怎么样？</w:t>
            </w:r>
          </w:p>
          <w:p w14:paraId="764A434E">
            <w:pPr>
              <w:kinsoku/>
              <w:spacing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答：</w:t>
            </w:r>
            <w:r>
              <w:rPr>
                <w:rFonts w:hint="eastAsia" w:ascii="宋体" w:hAnsi="宋体" w:eastAsia="宋体" w:cs="Times New Roman"/>
                <w:sz w:val="24"/>
                <w:szCs w:val="24"/>
              </w:rPr>
              <w:t>尊敬的投资者，您好！公司加快海外市场拓展的步伐，在团队搭建、渠道建设、客户拓展和供应链管理等方面取得实质性进展，截至目前，公司在美国、欧洲等核心市场已建立国际化专业团队。全球销售网络已覆盖多个主要国家和地区，通过积极开拓国际药企、生物科技企业及科研院所等核心客户群体，逐步形成以本地团队为核心、代理体系为支撑的高效市场覆盖结构。2024年公司海外客户数同比大幅增长，随着公司产品在海外市场渗透率增加，公司境外收入有望进一步提升。感谢您对近岸蛋白的关注！</w:t>
            </w:r>
          </w:p>
          <w:p w14:paraId="012B6FA9">
            <w:pPr>
              <w:spacing w:line="360" w:lineRule="auto"/>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问题4：请问公司对于癌症疫苗的研发进度有何展望？公司是否供货给国内相关公司</w:t>
            </w:r>
          </w:p>
          <w:p w14:paraId="76E1DCE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答：尊敬的投资者，您好！公司持续看好RNA技术的发展和应用，其应用领域从传染病疫苗拓展到治疗性肿瘤mRNA疫苗、mRNA蛋白替代疗法、细胞治疗和基因编辑等，传染病疫苗从单价到多联多价，并进一步拓展到动保领域。全球范围内，Moderna和BioNTech在mRNA肿瘤疫苗领域保持领先地位，Moderna和默沙东合作研发的个性化黑色素瘤疫苗mRNA-4157（V940）已进入3期临床阶段，预计将于2027年上市；BioNTech和基因泰克联合开发的个性化新抗原mRNA疫苗进入2期临床阶段。国内mRNA技术肿瘤疫苗上的应用也蓬勃发展，已有十余家企业的肿瘤疫苗管线推进至临床阶段。公司为下游企业提供全套的mRNA生产用原料及试剂，同时公司提供从序列设计到产品实现、从工艺开发到质量分析的全流程解决方案。感谢您对近岸蛋白的关注！</w:t>
            </w:r>
          </w:p>
          <w:p w14:paraId="298FCA48">
            <w:pPr>
              <w:spacing w:line="360" w:lineRule="auto"/>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问题</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：请问朱董，公司在扭亏为盈方面有哪些举措？公司营收达到多少，能实现盈亏平衡？</w:t>
            </w:r>
          </w:p>
          <w:p w14:paraId="5C019C79">
            <w:pPr>
              <w:kinsoku/>
              <w:spacing w:line="360" w:lineRule="auto"/>
              <w:ind w:firstLine="480" w:firstLineChars="200"/>
              <w:jc w:val="both"/>
              <w:rPr>
                <w:rFonts w:ascii="宋体" w:hAnsi="宋体" w:eastAsia="宋体" w:cs="宋体"/>
                <w:b/>
                <w:bCs/>
                <w:sz w:val="24"/>
                <w:szCs w:val="24"/>
              </w:rPr>
            </w:pPr>
            <w:r>
              <w:rPr>
                <w:rFonts w:hint="eastAsia" w:ascii="宋体" w:hAnsi="宋体" w:eastAsia="宋体" w:cs="宋体"/>
                <w:sz w:val="24"/>
                <w:szCs w:val="24"/>
              </w:rPr>
              <w:t>答：尊敬的投资者，您好！随着AI在生命科学领域的应用及海外BD等驱动的中国生物医药和合成生物学创新研发的投入加大，我们相信生命科学产业化应用将迎来快速发展，公司将进一步加大研发投入，以蛋白质技术创新和蛋白质应用技术创新推动生物医药行业创新升级。同时，为全面提升公司的经营效率与质量，维护公司的投资价值，公司管理层总结过往经验，提出了《2025年度“提质增效重回报”行动方案》，主要从聚焦经营主业，增强公司核心竞争力；加大研发投入，提升核心竞争力；重视投资者回报，共享发展成果；加强投资者交流，提高信息披露质量；完善公司治理，坚持规范运作；强化“关键少数”责任，助力公司稳健发展等六个方面做了规划，具体详见公司已披露的同名文件。感谢您对近岸蛋白的关注！</w:t>
            </w:r>
          </w:p>
          <w:p w14:paraId="35C6DCE5">
            <w:pPr>
              <w:spacing w:line="360" w:lineRule="auto"/>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问题</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：您好，贵司在成本控制和降本增效方面有哪些具体措施？</w:t>
            </w:r>
          </w:p>
          <w:p w14:paraId="0BB7E0AE">
            <w:pPr>
              <w:spacing w:line="360" w:lineRule="auto"/>
              <w:ind w:firstLine="480" w:firstLineChars="200"/>
              <w:jc w:val="both"/>
              <w:rPr>
                <w:rFonts w:hint="eastAsia" w:ascii="宋体" w:hAnsi="宋体" w:eastAsia="宋体" w:cs="宋体"/>
              </w:rPr>
            </w:pPr>
            <w:r>
              <w:rPr>
                <w:rFonts w:hint="eastAsia" w:ascii="宋体" w:hAnsi="宋体" w:eastAsia="宋体" w:cs="宋体"/>
                <w:sz w:val="24"/>
                <w:szCs w:val="24"/>
              </w:rPr>
              <w:t>答：尊敬的投资者，您好！公司通过持续强化智能化和信息系统建设、优化生产流程、调整作业模式等方式推动降本增效，提升关键设备综合利用率和生产人效，增强公司盈利能力。随着AI在生命科学领域的应用及海外BD等驱动的中国生物医药创新和合成生物学创新研发的投入加大，我们相信生命科学产业化应用将迎来快速发展，公司将进一步加大研发投入，以蛋白质工具创新和蛋白质应用技术创新推动生物医药行业创新升级。同时公司进一步强化营销力量和海外市场拓展，扩大营销规模，进一步提高产能利用率。感谢您对近岸蛋白的关注！</w:t>
            </w:r>
          </w:p>
          <w:p w14:paraId="50EF9B7A">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rPr>
              <w:t>问题</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：25年一季度公司营收有所增长，主要原因是什么？领导对未来业绩持的看法</w:t>
            </w:r>
            <w:r>
              <w:rPr>
                <w:rFonts w:hint="eastAsia" w:ascii="宋体" w:hAnsi="宋体" w:eastAsia="宋体" w:cs="宋体"/>
                <w:b/>
                <w:bCs/>
                <w:sz w:val="24"/>
                <w:szCs w:val="24"/>
                <w:lang w:eastAsia="zh-CN"/>
              </w:rPr>
              <w:t>。</w:t>
            </w:r>
          </w:p>
          <w:p w14:paraId="6065035C">
            <w:pPr>
              <w:kinsoku/>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答：尊敬的投资者，您好！2025年公司持续增加研发投入，积极推动AI技术应用，提升了研发转化率，同时加强营销队伍建设，持续加大营销投入。同时随着中国生物药海外BD数显著增加，下游投融资有回暖趋势。生物医药行业作为直接关系到人民生命健康的重要领域和科技创新的前沿，行业发展前景广阔。公司坚信蛋白质技术创新和蛋白质应用技术创新在推动生物医药行业创新中的重要价值。感谢您对近岸蛋白的关注！</w:t>
            </w:r>
          </w:p>
          <w:p w14:paraId="632D9BA2">
            <w:pPr>
              <w:kinsoku/>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问题</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：您好！请问公司未来战略规划如何？能否分享下新兴业务布局或转型规划？</w:t>
            </w:r>
          </w:p>
          <w:p w14:paraId="3AB39DDF">
            <w:pPr>
              <w:kinsoku/>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答：尊敬的投资者，您好！公司坚信随着AI在生命科学领域的应用及海外BD等驱动的中国生物医药创新和合成生物学创新研发的投入加大，生命科学产业化应用将迎来快速发展，公司坚信蛋白质技术创新和蛋白质应用技术创新在推动生物医药行业创新中的重要价值。面对下游应用行业的变化以及市场需求的变化，公司进一步加强AI在生命科学领域的应用，进一步强化现有业务的同时，积极推进胶原蛋白原料等多种合成生物学项目的产业化进程，加快海外市场拓展的步伐。同时公司将积极寻求与公司主营业务发展相关联的上下游产业链资产标的作为协作投资、并购的对象，整合上下游产业链资源，丰富完善产业布局，构铸行业新生态。感谢您对近岸蛋白的关注！</w:t>
            </w:r>
          </w:p>
        </w:tc>
      </w:tr>
      <w:tr w14:paraId="04D98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923" w:type="dxa"/>
            <w:vAlign w:val="center"/>
          </w:tcPr>
          <w:p w14:paraId="0BC4F555">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19" w:right="108"/>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附件清单</w:t>
            </w:r>
          </w:p>
          <w:p w14:paraId="31E3E3CC">
            <w:pPr>
              <w:keepNext w:val="0"/>
              <w:keepLines w:val="0"/>
              <w:pageBreakBefore w:val="0"/>
              <w:widowControl/>
              <w:kinsoku w:val="0"/>
              <w:wordWrap/>
              <w:overflowPunct/>
              <w:topLinePunct w:val="0"/>
              <w:autoSpaceDE w:val="0"/>
              <w:autoSpaceDN w:val="0"/>
              <w:bidi w:val="0"/>
              <w:adjustRightInd w:val="0"/>
              <w:snapToGrid w:val="0"/>
              <w:spacing w:before="0" w:line="360" w:lineRule="auto"/>
              <w:ind w:left="119" w:right="108"/>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（如有）</w:t>
            </w:r>
          </w:p>
        </w:tc>
        <w:tc>
          <w:tcPr>
            <w:tcW w:w="7579" w:type="dxa"/>
            <w:vAlign w:val="center"/>
          </w:tcPr>
          <w:p w14:paraId="166D3364">
            <w:pPr>
              <w:spacing w:before="207" w:line="377" w:lineRule="auto"/>
              <w:ind w:left="119" w:right="106"/>
              <w:jc w:val="both"/>
              <w:rPr>
                <w:rFonts w:hint="eastAsia" w:ascii="宋体" w:hAnsi="宋体" w:eastAsia="宋体" w:cs="宋体"/>
                <w:spacing w:val="-2"/>
                <w:sz w:val="24"/>
                <w:szCs w:val="24"/>
              </w:rPr>
            </w:pPr>
            <w:r>
              <w:rPr>
                <w:rFonts w:hint="eastAsia" w:ascii="宋体" w:hAnsi="宋体" w:eastAsia="宋体" w:cs="宋体"/>
                <w:spacing w:val="-2"/>
                <w:sz w:val="24"/>
                <w:szCs w:val="24"/>
              </w:rPr>
              <w:t>无</w:t>
            </w:r>
          </w:p>
        </w:tc>
      </w:tr>
      <w:tr w14:paraId="613D4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23" w:type="dxa"/>
            <w:vAlign w:val="center"/>
          </w:tcPr>
          <w:p w14:paraId="0AA75A41">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ascii="宋体" w:hAnsi="宋体" w:eastAsia="宋体" w:cs="宋体"/>
                <w:sz w:val="24"/>
                <w:szCs w:val="24"/>
              </w:rPr>
            </w:pPr>
            <w:r>
              <w:rPr>
                <w:rFonts w:ascii="宋体" w:hAnsi="宋体" w:eastAsia="宋体" w:cs="宋体"/>
                <w:spacing w:val="-14"/>
                <w:sz w:val="24"/>
                <w:szCs w:val="24"/>
              </w:rPr>
              <w:t>日</w:t>
            </w:r>
            <w:r>
              <w:rPr>
                <w:rFonts w:ascii="宋体" w:hAnsi="宋体" w:eastAsia="宋体" w:cs="宋体"/>
                <w:spacing w:val="-12"/>
                <w:sz w:val="24"/>
                <w:szCs w:val="24"/>
              </w:rPr>
              <w:t>期</w:t>
            </w:r>
          </w:p>
        </w:tc>
        <w:tc>
          <w:tcPr>
            <w:tcW w:w="7579" w:type="dxa"/>
          </w:tcPr>
          <w:p w14:paraId="1347E29B">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16"/>
              <w:textAlignment w:val="baseline"/>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年6月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tc>
      </w:tr>
    </w:tbl>
    <w:p w14:paraId="0714AD9C">
      <w:pPr>
        <w:spacing w:line="91" w:lineRule="auto"/>
        <w:rPr>
          <w:rFonts w:ascii="宋体" w:hAnsi="宋体" w:eastAsia="宋体"/>
          <w:sz w:val="2"/>
        </w:rPr>
      </w:pPr>
    </w:p>
    <w:p w14:paraId="7E0A6FE5">
      <w:pPr>
        <w:spacing w:line="91" w:lineRule="auto"/>
        <w:rPr>
          <w:rFonts w:ascii="宋体" w:hAnsi="宋体" w:eastAsia="宋体"/>
          <w:sz w:val="2"/>
        </w:rPr>
      </w:pPr>
    </w:p>
    <w:p w14:paraId="4E1A1EC8">
      <w:pPr>
        <w:rPr>
          <w:rFonts w:ascii="宋体" w:hAnsi="宋体" w:eastAsia="宋体"/>
        </w:rPr>
      </w:pPr>
    </w:p>
    <w:sectPr>
      <w:headerReference r:id="rId3" w:type="default"/>
      <w:pgSz w:w="11907" w:h="16839"/>
      <w:pgMar w:top="1431" w:right="1169" w:bottom="0" w:left="122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ans-serif">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72DF">
    <w:pPr>
      <w:pStyle w:val="5"/>
      <w:jc w:val="left"/>
      <w:rPr>
        <w:rFonts w:eastAsiaTheme="minorEastAsia"/>
      </w:rPr>
    </w:pPr>
  </w:p>
  <w:p w14:paraId="2535FA3D">
    <w:pPr>
      <w:pStyle w:val="5"/>
      <w:jc w:val="left"/>
      <w:rPr>
        <w:rFonts w:eastAsiaTheme="minorEastAsia"/>
      </w:rPr>
    </w:pPr>
  </w:p>
  <w:p w14:paraId="164E1514">
    <w:pPr>
      <w:pStyle w:val="5"/>
      <w:tabs>
        <w:tab w:val="left" w:pos="7515"/>
        <w:tab w:val="clear" w:pos="4153"/>
        <w:tab w:val="clear" w:pos="8306"/>
      </w:tabs>
      <w:jc w:val="left"/>
      <w:rPr>
        <w:rFonts w:eastAsiaTheme="minorEastAsia"/>
        <w:b/>
        <w:bCs/>
      </w:rPr>
    </w:pPr>
    <w:r>
      <w:rPr>
        <w:rFonts w:ascii="宋体" w:hAnsi="宋体" w:eastAsia="宋体" w:cs="宋体"/>
        <w:snapToGrid/>
        <w:color w:val="auto"/>
        <w:sz w:val="24"/>
        <w:szCs w:val="24"/>
      </w:rPr>
      <w:drawing>
        <wp:inline distT="0" distB="0" distL="0" distR="0">
          <wp:extent cx="1473835" cy="347980"/>
          <wp:effectExtent l="0" t="0" r="0" b="0"/>
          <wp:docPr id="16721072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0728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3835" cy="347980"/>
                  </a:xfrm>
                  <a:prstGeom prst="rect">
                    <a:avLst/>
                  </a:prstGeom>
                  <a:noFill/>
                  <a:ln>
                    <a:noFill/>
                  </a:ln>
                </pic:spPr>
              </pic:pic>
            </a:graphicData>
          </a:graphic>
        </wp:inline>
      </w:drawing>
    </w:r>
    <w:r>
      <w:rPr>
        <w:rFonts w:eastAsiaTheme="minorEastAsia"/>
      </w:rPr>
      <w:tab/>
    </w:r>
    <w:r>
      <w:rPr>
        <w:rFonts w:hint="eastAsia" w:eastAsiaTheme="minor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06E0C"/>
    <w:rsid w:val="000923BB"/>
    <w:rsid w:val="00154002"/>
    <w:rsid w:val="001810EC"/>
    <w:rsid w:val="001D76D2"/>
    <w:rsid w:val="001E0B3C"/>
    <w:rsid w:val="00391C11"/>
    <w:rsid w:val="0039612F"/>
    <w:rsid w:val="003B6AFE"/>
    <w:rsid w:val="004452C9"/>
    <w:rsid w:val="0047349F"/>
    <w:rsid w:val="00626F0D"/>
    <w:rsid w:val="00631246"/>
    <w:rsid w:val="00631671"/>
    <w:rsid w:val="006B2641"/>
    <w:rsid w:val="007120EF"/>
    <w:rsid w:val="00842983"/>
    <w:rsid w:val="00854D99"/>
    <w:rsid w:val="008C6CD5"/>
    <w:rsid w:val="00900C45"/>
    <w:rsid w:val="00906B9D"/>
    <w:rsid w:val="00947E4E"/>
    <w:rsid w:val="009524A3"/>
    <w:rsid w:val="00A06E0C"/>
    <w:rsid w:val="00A4600C"/>
    <w:rsid w:val="00B67EF5"/>
    <w:rsid w:val="00EA05AF"/>
    <w:rsid w:val="058E261D"/>
    <w:rsid w:val="07AA2241"/>
    <w:rsid w:val="0C441699"/>
    <w:rsid w:val="28FE6972"/>
    <w:rsid w:val="37FF7D5D"/>
    <w:rsid w:val="3FB181A3"/>
    <w:rsid w:val="40974F43"/>
    <w:rsid w:val="70AC466C"/>
    <w:rsid w:val="7426781C"/>
    <w:rsid w:val="7F5D6958"/>
    <w:rsid w:val="85485F85"/>
    <w:rsid w:val="EFF576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link w:val="14"/>
    <w:semiHidden/>
    <w:unhideWhenUsed/>
    <w:qFormat/>
    <w:uiPriority w:val="0"/>
    <w:pPr>
      <w:keepNext/>
      <w:keepLines/>
      <w:spacing w:before="260" w:after="260" w:line="416" w:lineRule="auto"/>
      <w:outlineLvl w:val="2"/>
    </w:pPr>
    <w:rPr>
      <w:b/>
      <w:bCs/>
      <w:sz w:val="32"/>
      <w:szCs w:val="32"/>
    </w:rPr>
  </w:style>
  <w:style w:type="paragraph" w:styleId="3">
    <w:name w:val="heading 4"/>
    <w:basedOn w:val="1"/>
    <w:next w:val="1"/>
    <w:link w:val="13"/>
    <w:qFormat/>
    <w:uiPriority w:val="9"/>
    <w:pPr>
      <w:kinsoku/>
      <w:autoSpaceDE/>
      <w:autoSpaceDN/>
      <w:adjustRightInd/>
      <w:snapToGrid/>
      <w:textAlignment w:val="auto"/>
      <w:outlineLvl w:val="3"/>
    </w:pPr>
    <w:rPr>
      <w:rFonts w:ascii="inherit" w:hAnsi="inherit" w:eastAsia="宋体" w:cs="宋体"/>
      <w:snapToGrid/>
      <w:color w:val="auto"/>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5"/>
    <w:qFormat/>
    <w:uiPriority w:val="99"/>
    <w:rPr>
      <w:rFonts w:ascii="Arial" w:hAnsi="Arial" w:eastAsia="Arial" w:cs="Arial"/>
      <w:snapToGrid w:val="0"/>
      <w:color w:val="000000"/>
      <w:sz w:val="18"/>
      <w:szCs w:val="18"/>
    </w:rPr>
  </w:style>
  <w:style w:type="character" w:customStyle="1" w:styleId="10">
    <w:name w:val="页脚 字符"/>
    <w:basedOn w:val="7"/>
    <w:link w:val="4"/>
    <w:qFormat/>
    <w:uiPriority w:val="0"/>
    <w:rPr>
      <w:rFonts w:ascii="Arial" w:hAnsi="Arial" w:eastAsia="Arial" w:cs="Arial"/>
      <w:snapToGrid w:val="0"/>
      <w:color w:val="000000"/>
      <w:sz w:val="18"/>
      <w:szCs w:val="18"/>
    </w:rPr>
  </w:style>
  <w:style w:type="character" w:customStyle="1" w:styleId="11">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styleId="12">
    <w:name w:val="List Paragraph"/>
    <w:basedOn w:val="1"/>
    <w:unhideWhenUsed/>
    <w:qFormat/>
    <w:uiPriority w:val="99"/>
    <w:pPr>
      <w:ind w:firstLine="420" w:firstLineChars="200"/>
    </w:pPr>
  </w:style>
  <w:style w:type="character" w:customStyle="1" w:styleId="13">
    <w:name w:val="标题 4 字符"/>
    <w:basedOn w:val="7"/>
    <w:link w:val="3"/>
    <w:qFormat/>
    <w:uiPriority w:val="9"/>
    <w:rPr>
      <w:rFonts w:ascii="inherit" w:hAnsi="inherit" w:cs="宋体"/>
      <w:sz w:val="27"/>
      <w:szCs w:val="27"/>
    </w:rPr>
  </w:style>
  <w:style w:type="character" w:customStyle="1" w:styleId="14">
    <w:name w:val="标题 3 字符"/>
    <w:basedOn w:val="7"/>
    <w:link w:val="2"/>
    <w:semiHidden/>
    <w:qFormat/>
    <w:uiPriority w:val="0"/>
    <w:rPr>
      <w:rFonts w:ascii="Arial" w:hAnsi="Arial" w:eastAsia="Arial" w:cs="Arial"/>
      <w:b/>
      <w:bCs/>
      <w:snapToGrid w:val="0"/>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2738</Words>
  <Characters>2877</Characters>
  <Lines>31</Lines>
  <Paragraphs>8</Paragraphs>
  <TotalTime>57</TotalTime>
  <ScaleCrop>false</ScaleCrop>
  <LinksUpToDate>false</LinksUpToDate>
  <CharactersWithSpaces>2968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2024-06-12T23:32:00Z</dcterms:created>
  <dc:creator>zq01</dc:creator>
  <cp:lastModifiedBy>近岸</cp:lastModifiedBy>
  <dcterms:modified xsi:type="dcterms:W3CDTF">2025-06-30T11:55:53Z</dcterms:modified>
  <dc:title>证券代码：300233                            证券简称：金城医药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2023-06-15T23:34:50Z</vt:filetime>
  </property>
  <property fmtid="{D5CDD505-2E9C-101B-9397-08002B2CF9AE}" pid="4" name="KSOProductBuildVer">
    <vt:lpwstr>2052-12.1.0.21541</vt:lpwstr>
  </property>
  <property fmtid="{D5CDD505-2E9C-101B-9397-08002B2CF9AE}" pid="5" name="ICV">
    <vt:lpwstr>108F70E95B9C4DCDA4DD02A7BE296D4E_12</vt:lpwstr>
  </property>
  <property fmtid="{D5CDD505-2E9C-101B-9397-08002B2CF9AE}" pid="6" name="KSOTemplateDocerSaveRecord">
    <vt:lpwstr>eyJoZGlkIjoiODViY2JkMjU3NGYzZTEwMzZmMGFkZWViYmNkYWU3NDIiLCJ1c2VySWQiOiIyMTY0ODEwNzkifQ==</vt:lpwstr>
  </property>
</Properties>
</file>