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249D1">
      <w:pPr>
        <w:spacing w:before="156" w:beforeLines="50" w:after="156" w:afterLines="50" w:line="400" w:lineRule="exact"/>
        <w:rPr>
          <w:rFonts w:hint="eastAsia" w:ascii="仿宋" w:hAnsi="仿宋" w:eastAsia="仿宋" w:cs="仿宋"/>
          <w:bCs/>
          <w:iCs/>
          <w:sz w:val="28"/>
          <w:szCs w:val="21"/>
        </w:rPr>
      </w:pPr>
      <w:r>
        <w:rPr>
          <w:rFonts w:hint="eastAsia" w:ascii="仿宋" w:hAnsi="仿宋" w:eastAsia="仿宋" w:cs="仿宋"/>
          <w:bCs/>
          <w:iCs/>
          <w:sz w:val="28"/>
          <w:szCs w:val="21"/>
        </w:rPr>
        <w:t>证券代码：688229                        证券简称：博睿数据</w:t>
      </w:r>
    </w:p>
    <w:p w14:paraId="292AA037">
      <w:pPr>
        <w:spacing w:before="156" w:beforeLines="50" w:after="156" w:afterLines="50" w:line="400" w:lineRule="exact"/>
        <w:jc w:val="center"/>
        <w:rPr>
          <w:rFonts w:hint="eastAsia" w:ascii="仿宋" w:hAnsi="仿宋" w:eastAsia="仿宋" w:cs="仿宋"/>
          <w:b/>
          <w:bCs/>
          <w:iCs/>
          <w:sz w:val="36"/>
          <w:szCs w:val="36"/>
        </w:rPr>
      </w:pPr>
      <w:r>
        <w:rPr>
          <w:rFonts w:hint="eastAsia" w:ascii="仿宋" w:hAnsi="仿宋" w:eastAsia="仿宋" w:cs="仿宋"/>
          <w:b/>
          <w:bCs/>
          <w:iCs/>
          <w:sz w:val="36"/>
          <w:szCs w:val="36"/>
        </w:rPr>
        <w:t>北京博睿宏远数据科技股份有限公司</w:t>
      </w:r>
    </w:p>
    <w:p w14:paraId="25586537">
      <w:pPr>
        <w:spacing w:before="156" w:beforeLines="50" w:after="156" w:afterLines="50" w:line="400" w:lineRule="exact"/>
        <w:jc w:val="center"/>
        <w:rPr>
          <w:rFonts w:hint="eastAsia" w:ascii="仿宋" w:hAnsi="仿宋" w:eastAsia="仿宋" w:cs="仿宋"/>
          <w:b/>
          <w:bCs/>
          <w:iCs/>
          <w:sz w:val="36"/>
          <w:szCs w:val="36"/>
        </w:rPr>
      </w:pPr>
      <w:r>
        <w:rPr>
          <w:rFonts w:hint="eastAsia" w:ascii="仿宋" w:hAnsi="仿宋" w:eastAsia="仿宋" w:cs="仿宋"/>
          <w:b/>
          <w:bCs/>
          <w:iCs/>
          <w:sz w:val="36"/>
          <w:szCs w:val="36"/>
        </w:rPr>
        <w:t>投资者关系活动记录表</w:t>
      </w:r>
    </w:p>
    <w:p w14:paraId="65C4422C">
      <w:pPr>
        <w:spacing w:line="400" w:lineRule="exact"/>
        <w:rPr>
          <w:rFonts w:hint="eastAsia" w:ascii="仿宋" w:hAnsi="仿宋" w:eastAsia="仿宋" w:cs="仿宋"/>
          <w:bCs/>
          <w:iCs/>
          <w:sz w:val="28"/>
          <w:szCs w:val="28"/>
          <w:lang w:eastAsia="zh-CN"/>
        </w:rPr>
      </w:pPr>
      <w:r>
        <w:rPr>
          <w:rFonts w:hint="eastAsia" w:ascii="仿宋" w:hAnsi="仿宋" w:eastAsia="仿宋" w:cs="仿宋"/>
          <w:bCs/>
          <w:iCs/>
          <w:sz w:val="28"/>
          <w:szCs w:val="28"/>
        </w:rPr>
        <w:t xml:space="preserve">                                            编号：202</w:t>
      </w:r>
      <w:r>
        <w:rPr>
          <w:rFonts w:hint="eastAsia" w:ascii="仿宋" w:hAnsi="仿宋" w:eastAsia="仿宋" w:cs="仿宋"/>
          <w:bCs/>
          <w:iCs/>
          <w:sz w:val="28"/>
          <w:szCs w:val="28"/>
          <w:lang w:val="en-US" w:eastAsia="zh-CN"/>
        </w:rPr>
        <w:t>5</w:t>
      </w:r>
      <w:r>
        <w:rPr>
          <w:rFonts w:hint="eastAsia" w:ascii="仿宋" w:hAnsi="仿宋" w:eastAsia="仿宋" w:cs="仿宋"/>
          <w:bCs/>
          <w:iCs/>
          <w:sz w:val="28"/>
          <w:szCs w:val="28"/>
        </w:rPr>
        <w:t>-00</w:t>
      </w:r>
      <w:r>
        <w:rPr>
          <w:rFonts w:hint="eastAsia" w:ascii="仿宋" w:hAnsi="仿宋" w:eastAsia="仿宋" w:cs="仿宋"/>
          <w:bCs/>
          <w:iCs/>
          <w:sz w:val="28"/>
          <w:szCs w:val="28"/>
          <w:lang w:val="en-US" w:eastAsia="zh-CN"/>
        </w:rPr>
        <w:t>3</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6263"/>
      </w:tblGrid>
      <w:tr w14:paraId="6348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tcPr>
          <w:p w14:paraId="08F08F87">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投资者关系活动类别</w:t>
            </w:r>
          </w:p>
          <w:p w14:paraId="7EEC1FC7">
            <w:pPr>
              <w:spacing w:line="240" w:lineRule="auto"/>
              <w:rPr>
                <w:rFonts w:hint="eastAsia" w:ascii="仿宋" w:hAnsi="仿宋" w:eastAsia="仿宋" w:cs="仿宋"/>
                <w:b/>
                <w:bCs/>
                <w:iCs/>
                <w:sz w:val="28"/>
                <w:szCs w:val="28"/>
              </w:rPr>
            </w:pPr>
          </w:p>
        </w:tc>
        <w:tc>
          <w:tcPr>
            <w:tcW w:w="6263" w:type="dxa"/>
            <w:shd w:val="clear" w:color="auto" w:fill="auto"/>
          </w:tcPr>
          <w:p w14:paraId="0A1629F3">
            <w:pPr>
              <w:spacing w:line="240" w:lineRule="auto"/>
              <w:rPr>
                <w:rFonts w:hint="eastAsia" w:ascii="仿宋" w:hAnsi="仿宋" w:eastAsia="仿宋" w:cs="仿宋"/>
                <w:bCs/>
                <w:iCs/>
                <w:sz w:val="28"/>
                <w:szCs w:val="28"/>
              </w:rPr>
            </w:pPr>
            <w:r>
              <w:rPr>
                <w:rFonts w:hint="eastAsia" w:ascii="仿宋" w:hAnsi="仿宋" w:eastAsia="仿宋" w:cs="仿宋"/>
                <w:bCs/>
                <w:iCs/>
                <w:sz w:val="28"/>
                <w:szCs w:val="28"/>
              </w:rPr>
              <w:t>■</w:t>
            </w:r>
            <w:r>
              <w:rPr>
                <w:rFonts w:hint="eastAsia" w:ascii="仿宋" w:hAnsi="仿宋" w:eastAsia="仿宋" w:cs="仿宋"/>
                <w:sz w:val="28"/>
                <w:szCs w:val="28"/>
              </w:rPr>
              <w:t xml:space="preserve">特定对象调研        </w:t>
            </w:r>
            <w:r>
              <w:rPr>
                <w:rFonts w:hint="eastAsia" w:ascii="仿宋" w:hAnsi="仿宋" w:eastAsia="仿宋" w:cs="仿宋"/>
                <w:bCs/>
                <w:iCs/>
                <w:sz w:val="28"/>
                <w:szCs w:val="28"/>
              </w:rPr>
              <w:t>□</w:t>
            </w:r>
            <w:r>
              <w:rPr>
                <w:rFonts w:hint="eastAsia" w:ascii="仿宋" w:hAnsi="仿宋" w:eastAsia="仿宋" w:cs="仿宋"/>
                <w:sz w:val="28"/>
                <w:szCs w:val="28"/>
              </w:rPr>
              <w:t>分析师会议</w:t>
            </w:r>
          </w:p>
          <w:p w14:paraId="6C78213D">
            <w:pPr>
              <w:spacing w:line="240" w:lineRule="auto"/>
              <w:rPr>
                <w:rFonts w:hint="eastAsia" w:ascii="仿宋" w:hAnsi="仿宋" w:eastAsia="仿宋" w:cs="仿宋"/>
                <w:bCs/>
                <w:iCs/>
                <w:sz w:val="28"/>
                <w:szCs w:val="28"/>
              </w:rPr>
            </w:pPr>
            <w:r>
              <w:rPr>
                <w:rFonts w:hint="eastAsia" w:ascii="仿宋" w:hAnsi="仿宋" w:eastAsia="仿宋" w:cs="仿宋"/>
                <w:bCs/>
                <w:iCs/>
                <w:sz w:val="28"/>
                <w:szCs w:val="28"/>
              </w:rPr>
              <w:t>□</w:t>
            </w:r>
            <w:r>
              <w:rPr>
                <w:rFonts w:hint="eastAsia" w:ascii="仿宋" w:hAnsi="仿宋" w:eastAsia="仿宋" w:cs="仿宋"/>
                <w:sz w:val="28"/>
                <w:szCs w:val="28"/>
              </w:rPr>
              <w:t xml:space="preserve">媒体采访            </w:t>
            </w:r>
            <w:r>
              <w:rPr>
                <w:rFonts w:hint="eastAsia" w:ascii="仿宋" w:hAnsi="仿宋" w:eastAsia="仿宋" w:cs="仿宋"/>
                <w:bCs/>
                <w:iCs/>
                <w:sz w:val="28"/>
                <w:szCs w:val="28"/>
              </w:rPr>
              <w:t>□</w:t>
            </w:r>
            <w:r>
              <w:rPr>
                <w:rFonts w:hint="eastAsia" w:ascii="仿宋" w:hAnsi="仿宋" w:eastAsia="仿宋" w:cs="仿宋"/>
                <w:sz w:val="28"/>
                <w:szCs w:val="28"/>
              </w:rPr>
              <w:t>业绩说明会</w:t>
            </w:r>
          </w:p>
          <w:p w14:paraId="681AC887">
            <w:pPr>
              <w:spacing w:line="240" w:lineRule="auto"/>
              <w:rPr>
                <w:rFonts w:hint="eastAsia" w:ascii="仿宋" w:hAnsi="仿宋" w:eastAsia="仿宋" w:cs="仿宋"/>
                <w:bCs/>
                <w:iCs/>
                <w:sz w:val="28"/>
                <w:szCs w:val="28"/>
              </w:rPr>
            </w:pPr>
            <w:r>
              <w:rPr>
                <w:rFonts w:hint="eastAsia" w:ascii="仿宋" w:hAnsi="仿宋" w:eastAsia="仿宋" w:cs="仿宋"/>
                <w:bCs/>
                <w:iCs/>
                <w:sz w:val="28"/>
                <w:szCs w:val="28"/>
              </w:rPr>
              <w:t>□</w:t>
            </w:r>
            <w:r>
              <w:rPr>
                <w:rFonts w:hint="eastAsia" w:ascii="仿宋" w:hAnsi="仿宋" w:eastAsia="仿宋" w:cs="仿宋"/>
                <w:sz w:val="28"/>
                <w:szCs w:val="28"/>
              </w:rPr>
              <w:t xml:space="preserve">新闻发布会          </w:t>
            </w:r>
            <w:r>
              <w:rPr>
                <w:rFonts w:hint="eastAsia" w:ascii="仿宋" w:hAnsi="仿宋" w:eastAsia="仿宋" w:cs="仿宋"/>
                <w:bCs/>
                <w:iCs/>
                <w:sz w:val="28"/>
                <w:szCs w:val="28"/>
              </w:rPr>
              <w:t>□</w:t>
            </w:r>
            <w:r>
              <w:rPr>
                <w:rFonts w:hint="eastAsia" w:ascii="仿宋" w:hAnsi="仿宋" w:eastAsia="仿宋" w:cs="仿宋"/>
                <w:sz w:val="28"/>
                <w:szCs w:val="28"/>
              </w:rPr>
              <w:t>路演活动</w:t>
            </w:r>
          </w:p>
          <w:p w14:paraId="0B4DF391">
            <w:pPr>
              <w:tabs>
                <w:tab w:val="left" w:pos="3045"/>
                <w:tab w:val="center" w:pos="3199"/>
              </w:tabs>
              <w:spacing w:line="240" w:lineRule="auto"/>
              <w:rPr>
                <w:rFonts w:hint="eastAsia" w:ascii="仿宋" w:hAnsi="仿宋" w:eastAsia="仿宋" w:cs="仿宋"/>
                <w:bCs/>
                <w:iCs/>
                <w:sz w:val="28"/>
                <w:szCs w:val="28"/>
              </w:rPr>
            </w:pPr>
            <w:r>
              <w:rPr>
                <w:rFonts w:hint="eastAsia" w:ascii="仿宋" w:hAnsi="仿宋" w:eastAsia="仿宋" w:cs="仿宋"/>
                <w:bCs/>
                <w:iCs/>
                <w:sz w:val="28"/>
                <w:szCs w:val="28"/>
                <w:lang w:eastAsia="zh-CN"/>
              </w:rPr>
              <w:t>□</w:t>
            </w:r>
            <w:r>
              <w:rPr>
                <w:rFonts w:hint="eastAsia" w:ascii="仿宋" w:hAnsi="仿宋" w:eastAsia="仿宋" w:cs="仿宋"/>
                <w:sz w:val="28"/>
                <w:szCs w:val="28"/>
              </w:rPr>
              <w:t>现场参观</w:t>
            </w:r>
            <w:r>
              <w:rPr>
                <w:rFonts w:hint="eastAsia" w:ascii="仿宋" w:hAnsi="仿宋" w:eastAsia="仿宋" w:cs="仿宋"/>
                <w:bCs/>
                <w:iCs/>
                <w:sz w:val="28"/>
                <w:szCs w:val="28"/>
              </w:rPr>
              <w:tab/>
            </w:r>
          </w:p>
          <w:p w14:paraId="3D55166A">
            <w:pPr>
              <w:tabs>
                <w:tab w:val="center" w:pos="3199"/>
              </w:tabs>
              <w:spacing w:line="240" w:lineRule="auto"/>
              <w:rPr>
                <w:rFonts w:hint="eastAsia" w:ascii="仿宋" w:hAnsi="仿宋" w:eastAsia="仿宋" w:cs="仿宋"/>
                <w:bCs/>
                <w:iCs/>
                <w:sz w:val="28"/>
                <w:szCs w:val="28"/>
              </w:rPr>
            </w:pPr>
            <w:r>
              <w:rPr>
                <w:rFonts w:hint="eastAsia" w:ascii="仿宋" w:hAnsi="仿宋" w:eastAsia="仿宋" w:cs="仿宋"/>
                <w:bCs/>
                <w:iCs/>
                <w:sz w:val="28"/>
                <w:szCs w:val="28"/>
              </w:rPr>
              <w:t>□</w:t>
            </w:r>
            <w:r>
              <w:rPr>
                <w:rFonts w:hint="eastAsia" w:ascii="仿宋" w:hAnsi="仿宋" w:eastAsia="仿宋" w:cs="仿宋"/>
                <w:sz w:val="28"/>
                <w:szCs w:val="28"/>
              </w:rPr>
              <w:t>其他</w:t>
            </w:r>
          </w:p>
        </w:tc>
      </w:tr>
      <w:tr w14:paraId="4271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tcPr>
          <w:p w14:paraId="6409E75E">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参与单位名称及人员姓名</w:t>
            </w:r>
          </w:p>
        </w:tc>
        <w:tc>
          <w:tcPr>
            <w:tcW w:w="6263" w:type="dxa"/>
            <w:shd w:val="clear" w:color="auto" w:fill="auto"/>
            <w:vAlign w:val="center"/>
          </w:tcPr>
          <w:p w14:paraId="4865F09D">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东兴证券</w:t>
            </w:r>
          </w:p>
          <w:p w14:paraId="11323E46">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同花顺</w:t>
            </w:r>
          </w:p>
          <w:p w14:paraId="2C6B9B6A">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咸和资产</w:t>
            </w:r>
          </w:p>
          <w:p w14:paraId="266EA848">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睿亿投资</w:t>
            </w:r>
          </w:p>
          <w:p w14:paraId="506AE3AC">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深圳熙山资本管理有限公司</w:t>
            </w:r>
          </w:p>
          <w:p w14:paraId="08F9D3A2">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上海九祥资产管理有限公司</w:t>
            </w:r>
          </w:p>
          <w:p w14:paraId="6AE96458">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鸿运私募基金管理（海南）有限公司</w:t>
            </w:r>
          </w:p>
          <w:p w14:paraId="456510E0">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泰康资产管理有限责任公司</w:t>
            </w:r>
          </w:p>
          <w:p w14:paraId="37481D56">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上海世诚投资管理有限公司</w:t>
            </w:r>
          </w:p>
          <w:p w14:paraId="70D993BD">
            <w:pPr>
              <w:spacing w:line="240" w:lineRule="auto"/>
              <w:jc w:val="both"/>
              <w:rPr>
                <w:rFonts w:hint="eastAsia" w:ascii="仿宋" w:hAnsi="仿宋" w:eastAsia="仿宋" w:cs="仿宋"/>
                <w:sz w:val="24"/>
                <w:szCs w:val="22"/>
                <w:lang w:val="en-US" w:eastAsia="zh-CN"/>
              </w:rPr>
            </w:pPr>
            <w:r>
              <w:rPr>
                <w:rFonts w:hint="eastAsia" w:ascii="仿宋" w:hAnsi="仿宋" w:eastAsia="仿宋" w:cs="仿宋"/>
                <w:sz w:val="24"/>
                <w:szCs w:val="22"/>
                <w:lang w:val="en-US" w:eastAsia="zh-CN"/>
              </w:rPr>
              <w:t>杭州长谋投资管理有限公司</w:t>
            </w:r>
          </w:p>
          <w:p w14:paraId="4883DFCE">
            <w:pPr>
              <w:spacing w:line="240" w:lineRule="auto"/>
              <w:jc w:val="both"/>
              <w:rPr>
                <w:rFonts w:hint="eastAsia" w:ascii="仿宋" w:hAnsi="仿宋" w:eastAsia="仿宋" w:cs="仿宋"/>
                <w:sz w:val="22"/>
                <w:szCs w:val="21"/>
                <w:lang w:val="en-US" w:eastAsia="zh-CN"/>
              </w:rPr>
            </w:pPr>
            <w:r>
              <w:rPr>
                <w:rFonts w:hint="eastAsia" w:ascii="仿宋" w:hAnsi="仿宋" w:eastAsia="仿宋" w:cs="仿宋"/>
                <w:sz w:val="24"/>
                <w:szCs w:val="22"/>
                <w:lang w:val="en-US" w:eastAsia="zh-CN"/>
              </w:rPr>
              <w:t>苏州天琛投资管理有限公司</w:t>
            </w:r>
          </w:p>
        </w:tc>
      </w:tr>
      <w:tr w14:paraId="6F3B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tcPr>
          <w:p w14:paraId="1CAA963A">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时间</w:t>
            </w:r>
          </w:p>
        </w:tc>
        <w:tc>
          <w:tcPr>
            <w:tcW w:w="6263" w:type="dxa"/>
            <w:shd w:val="clear" w:color="auto" w:fill="auto"/>
          </w:tcPr>
          <w:p w14:paraId="6E136EF2">
            <w:pPr>
              <w:spacing w:line="240" w:lineRule="auto"/>
              <w:rPr>
                <w:rFonts w:hint="eastAsia" w:ascii="仿宋" w:hAnsi="仿宋" w:eastAsia="仿宋" w:cs="仿宋"/>
                <w:bCs/>
                <w:iCs/>
                <w:sz w:val="28"/>
                <w:szCs w:val="28"/>
                <w:lang w:val="en-US" w:eastAsia="zh-CN"/>
              </w:rPr>
            </w:pPr>
            <w:r>
              <w:rPr>
                <w:rFonts w:hint="eastAsia" w:ascii="仿宋" w:hAnsi="仿宋" w:eastAsia="仿宋" w:cs="仿宋"/>
                <w:bCs/>
                <w:iCs/>
                <w:sz w:val="28"/>
                <w:szCs w:val="28"/>
                <w:lang w:val="en-US" w:eastAsia="zh-CN"/>
              </w:rPr>
              <w:t>2025年6月26日下午15：00</w:t>
            </w:r>
          </w:p>
        </w:tc>
      </w:tr>
      <w:tr w14:paraId="0677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tcPr>
          <w:p w14:paraId="6C1EF503">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地点</w:t>
            </w:r>
          </w:p>
        </w:tc>
        <w:tc>
          <w:tcPr>
            <w:tcW w:w="6263" w:type="dxa"/>
            <w:shd w:val="clear" w:color="auto" w:fill="auto"/>
          </w:tcPr>
          <w:p w14:paraId="7AF250F1">
            <w:pPr>
              <w:spacing w:line="240" w:lineRule="auto"/>
              <w:rPr>
                <w:rFonts w:hint="eastAsia" w:ascii="仿宋" w:hAnsi="仿宋" w:eastAsia="仿宋" w:cs="仿宋"/>
                <w:bCs/>
                <w:iCs/>
                <w:sz w:val="28"/>
                <w:szCs w:val="28"/>
                <w:lang w:val="en-US" w:eastAsia="zh-CN"/>
              </w:rPr>
            </w:pPr>
            <w:r>
              <w:rPr>
                <w:rFonts w:hint="eastAsia" w:ascii="仿宋" w:hAnsi="仿宋" w:eastAsia="仿宋" w:cs="仿宋"/>
                <w:bCs/>
                <w:iCs/>
                <w:sz w:val="28"/>
                <w:szCs w:val="28"/>
                <w:lang w:val="en-US" w:eastAsia="zh-CN"/>
              </w:rPr>
              <w:t>公司会议室</w:t>
            </w:r>
          </w:p>
        </w:tc>
      </w:tr>
      <w:tr w14:paraId="0FD5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tcPr>
          <w:p w14:paraId="72CC98B5">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上市公司接待人员姓名</w:t>
            </w:r>
          </w:p>
        </w:tc>
        <w:tc>
          <w:tcPr>
            <w:tcW w:w="6263" w:type="dxa"/>
            <w:shd w:val="clear" w:color="auto" w:fill="auto"/>
          </w:tcPr>
          <w:p w14:paraId="42BB5DA2">
            <w:pPr>
              <w:spacing w:line="240" w:lineRule="auto"/>
              <w:rPr>
                <w:rFonts w:hint="eastAsia" w:ascii="仿宋" w:hAnsi="仿宋" w:eastAsia="仿宋" w:cs="仿宋"/>
                <w:bCs/>
                <w:iCs/>
                <w:sz w:val="28"/>
                <w:szCs w:val="28"/>
              </w:rPr>
            </w:pPr>
            <w:r>
              <w:rPr>
                <w:rFonts w:hint="eastAsia" w:ascii="仿宋" w:hAnsi="仿宋" w:eastAsia="仿宋" w:cs="仿宋"/>
                <w:bCs/>
                <w:iCs/>
                <w:sz w:val="28"/>
                <w:szCs w:val="28"/>
              </w:rPr>
              <w:t>董事会秘书、副总经理</w:t>
            </w:r>
            <w:r>
              <w:rPr>
                <w:rFonts w:hint="eastAsia" w:ascii="仿宋" w:hAnsi="仿宋" w:eastAsia="仿宋" w:cs="仿宋"/>
                <w:bCs/>
                <w:iCs/>
                <w:sz w:val="28"/>
                <w:szCs w:val="28"/>
                <w:lang w:eastAsia="zh-CN"/>
              </w:rPr>
              <w:t>：</w:t>
            </w:r>
            <w:r>
              <w:rPr>
                <w:rFonts w:hint="eastAsia" w:ascii="仿宋" w:hAnsi="仿宋" w:eastAsia="仿宋" w:cs="仿宋"/>
                <w:bCs/>
                <w:iCs/>
                <w:sz w:val="28"/>
                <w:szCs w:val="28"/>
              </w:rPr>
              <w:t>孟曦东</w:t>
            </w:r>
          </w:p>
          <w:p w14:paraId="33C1110F">
            <w:pPr>
              <w:spacing w:line="240" w:lineRule="auto"/>
              <w:rPr>
                <w:rFonts w:hint="eastAsia" w:ascii="仿宋" w:hAnsi="仿宋" w:eastAsia="仿宋" w:cs="仿宋"/>
                <w:bCs/>
                <w:iCs/>
                <w:sz w:val="28"/>
                <w:szCs w:val="28"/>
              </w:rPr>
            </w:pPr>
            <w:r>
              <w:rPr>
                <w:rFonts w:hint="eastAsia" w:ascii="仿宋" w:hAnsi="仿宋" w:eastAsia="仿宋" w:cs="仿宋"/>
                <w:bCs/>
                <w:iCs/>
                <w:sz w:val="28"/>
                <w:szCs w:val="28"/>
              </w:rPr>
              <w:t>董事会办公室工作人员</w:t>
            </w:r>
          </w:p>
        </w:tc>
      </w:tr>
      <w:tr w14:paraId="7F48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259" w:type="dxa"/>
            <w:shd w:val="clear" w:color="auto" w:fill="auto"/>
            <w:vAlign w:val="center"/>
          </w:tcPr>
          <w:p w14:paraId="3B7083FD">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投资者关系活动主要内容介绍</w:t>
            </w:r>
          </w:p>
          <w:p w14:paraId="410055C0">
            <w:pPr>
              <w:spacing w:line="240" w:lineRule="auto"/>
              <w:rPr>
                <w:rFonts w:hint="eastAsia" w:ascii="仿宋" w:hAnsi="仿宋" w:eastAsia="仿宋" w:cs="仿宋"/>
                <w:b/>
                <w:bCs/>
                <w:iCs/>
                <w:sz w:val="28"/>
                <w:szCs w:val="28"/>
              </w:rPr>
            </w:pPr>
          </w:p>
        </w:tc>
        <w:tc>
          <w:tcPr>
            <w:tcW w:w="6263" w:type="dxa"/>
            <w:shd w:val="clear" w:color="auto" w:fill="auto"/>
          </w:tcPr>
          <w:p w14:paraId="08DD37D4">
            <w:pPr>
              <w:numPr>
                <w:ilvl w:val="0"/>
                <w:numId w:val="1"/>
              </w:numPr>
              <w:spacing w:line="24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介绍公司基本情况</w:t>
            </w:r>
          </w:p>
          <w:p w14:paraId="2BCF6A59">
            <w:pPr>
              <w:numPr>
                <w:ilvl w:val="0"/>
                <w:numId w:val="1"/>
              </w:numPr>
              <w:spacing w:line="24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投资者问答环节</w:t>
            </w:r>
          </w:p>
          <w:p w14:paraId="790967F2">
            <w:pPr>
              <w:numPr>
                <w:ilvl w:val="0"/>
                <w:numId w:val="0"/>
              </w:numPr>
              <w:spacing w:line="240" w:lineRule="auto"/>
              <w:ind w:firstLine="422" w:firstLineChars="15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（一）目前市场关注AI技术在算力运维与传统运维中的差异，公司在AI与运维监控/可观测性的融合上有哪些进展？客户接受度如何？</w:t>
            </w:r>
          </w:p>
          <w:p w14:paraId="0D705B5C">
            <w:pPr>
              <w:numPr>
                <w:ilvl w:val="0"/>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答：公司在AI与运维领域的应用分为两个层面：其一，构建AI模型运行监控体系，依托Bonree ONE平台自有能力，通过采集GPU及大模型运行数据，针对程序设计架构中GPU资源利用率问题进行深度分析，实现对AI模型运行系统的全流程监控；其二，大模型技术赋能产品开发，具体分为知识问答、生成类和因果类三大产品类型——知识问答类如“小睿助理"，可帮助客户快速了解公司产品体系、价格及案例等信息；生成类，作为专业技术型产品，支持通过AI提示词操作生成标准化结构（如PQL语句）；因果类，通过将LLM、Agentic Workflow、ReAct、MCP等技术与可观测平台相结合，实现根因分析智能体自主决策推断故障的根本原因，提升运维人员应急处置的效率。</w:t>
            </w:r>
          </w:p>
          <w:p w14:paraId="009C4D41">
            <w:pPr>
              <w:numPr>
                <w:ilvl w:val="0"/>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客户接受度方面，基础版AI能力（含数据检测、异常趋势分析）已免费集成至产品；高阶版（因果分析准确定位）已有部分金融行业客户内部试用。公司计划年内发布新版本，集中推出与客户共同打磨的AI经典场景功能。</w:t>
            </w:r>
          </w:p>
          <w:p w14:paraId="2FD335FA">
            <w:pPr>
              <w:numPr>
                <w:ilvl w:val="0"/>
                <w:numId w:val="0"/>
              </w:numPr>
              <w:spacing w:line="240" w:lineRule="auto"/>
              <w:ind w:firstLine="560" w:firstLineChars="200"/>
              <w:rPr>
                <w:rFonts w:hint="eastAsia" w:ascii="仿宋" w:hAnsi="仿宋" w:eastAsia="仿宋" w:cs="仿宋"/>
                <w:sz w:val="28"/>
                <w:szCs w:val="28"/>
                <w:lang w:val="en-US" w:eastAsia="zh-CN"/>
              </w:rPr>
            </w:pPr>
          </w:p>
          <w:p w14:paraId="4C402DF0">
            <w:pPr>
              <w:numPr>
                <w:ilvl w:val="0"/>
                <w:numId w:val="0"/>
              </w:numPr>
              <w:spacing w:line="240" w:lineRule="auto"/>
              <w:ind w:firstLine="422" w:firstLineChars="150"/>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lang w:val="en-US" w:eastAsia="zh-CN"/>
              </w:rPr>
              <w:t>公司2025年3月推出Bonree ONE海外版并布局香港、新加坡，如何规划出海战略？与海外厂商竞争的策略是什么？</w:t>
            </w:r>
          </w:p>
          <w:p w14:paraId="74A57734">
            <w:pPr>
              <w:numPr>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答：出海战略按区域差异化推进，核心目标为“技术对标+本土化适配”：</w:t>
            </w:r>
          </w:p>
          <w:p w14:paraId="77035D60">
            <w:pPr>
              <w:numPr>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港澳地区：聚焦存量市场替换。受宏观政策影响，部分海外软件需逐步替换为国产产品，公司将重点推进存量客户的国产替代。</w:t>
            </w:r>
          </w:p>
          <w:p w14:paraId="19B61A68">
            <w:pPr>
              <w:numPr>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中亚：目前通过代理商接触当地市场，目前看到的商业机会在银行业；</w:t>
            </w:r>
          </w:p>
          <w:p w14:paraId="226DB135">
            <w:pPr>
              <w:numPr>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东南亚：目标与国际顶尖厂商（如Datadog等）直接竞争，核心策略包括：①技术对标，因国内市场已难见海外厂商身影，需通过东南亚市场了解国际厂商当前技术方向及能力边界；②本土化商业机会，海外厂商在适配本土需求的响应速度与调整灵活性上存在优化空间，公司将提供差异化服务；③价格策略优化，海外厂商多采用阶梯报价，对IT资产规模较小的客户有较高门槛，公司将针对此类长尾客户调整价格策略，降低客户使用门槛。</w:t>
            </w:r>
          </w:p>
          <w:p w14:paraId="7B26EA29">
            <w:pPr>
              <w:numPr>
                <w:numId w:val="0"/>
              </w:numPr>
              <w:spacing w:line="240" w:lineRule="auto"/>
              <w:ind w:firstLine="560" w:firstLineChars="200"/>
              <w:rPr>
                <w:rFonts w:hint="eastAsia" w:ascii="仿宋" w:hAnsi="仿宋" w:eastAsia="仿宋" w:cs="仿宋"/>
                <w:sz w:val="28"/>
                <w:szCs w:val="28"/>
                <w:lang w:val="en-US" w:eastAsia="zh-CN"/>
              </w:rPr>
            </w:pPr>
          </w:p>
          <w:p w14:paraId="4BD30D44">
            <w:pPr>
              <w:numPr>
                <w:ilvl w:val="0"/>
                <w:numId w:val="0"/>
              </w:numPr>
              <w:spacing w:line="240" w:lineRule="auto"/>
              <w:ind w:firstLine="422" w:firstLineChars="15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（三）公司与字节等厂商的云生态合作进展如何？</w:t>
            </w:r>
          </w:p>
          <w:p w14:paraId="2C427944">
            <w:pPr>
              <w:numPr>
                <w:ilvl w:val="0"/>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答：目前均在有序推进中。</w:t>
            </w:r>
          </w:p>
          <w:p w14:paraId="3E45F2EE">
            <w:pPr>
              <w:numPr>
                <w:ilvl w:val="0"/>
                <w:numId w:val="0"/>
              </w:numPr>
              <w:spacing w:line="240" w:lineRule="auto"/>
              <w:ind w:firstLine="560" w:firstLineChars="200"/>
              <w:rPr>
                <w:rFonts w:hint="eastAsia" w:ascii="仿宋" w:hAnsi="仿宋" w:eastAsia="仿宋" w:cs="仿宋"/>
                <w:sz w:val="28"/>
                <w:szCs w:val="28"/>
                <w:lang w:val="en-US" w:eastAsia="zh-CN"/>
              </w:rPr>
            </w:pPr>
          </w:p>
          <w:p w14:paraId="7684A9E4">
            <w:pPr>
              <w:numPr>
                <w:ilvl w:val="0"/>
                <w:numId w:val="0"/>
              </w:numPr>
              <w:spacing w:line="240" w:lineRule="auto"/>
              <w:ind w:firstLine="422" w:firstLineChars="15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（四）公司与字节等厂商的云生态合作进展如何？</w:t>
            </w:r>
          </w:p>
          <w:p w14:paraId="4016B20C">
            <w:pPr>
              <w:numPr>
                <w:ilvl w:val="0"/>
                <w:numId w:val="0"/>
              </w:numPr>
              <w:spacing w:line="24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答：公司产品Bonree One将以平台化能力建设为核心战略方向，在应用LLM技术、推出应用市场和应用工厂能力方面进行产品升级，致力于构建覆盖数据治理、智能决策、场景适配的全</w:t>
            </w:r>
            <w:bookmarkStart w:id="0" w:name="_GoBack"/>
            <w:bookmarkEnd w:id="0"/>
            <w:r>
              <w:rPr>
                <w:rFonts w:hint="eastAsia" w:ascii="仿宋" w:hAnsi="仿宋" w:eastAsia="仿宋" w:cs="仿宋"/>
                <w:sz w:val="28"/>
                <w:szCs w:val="28"/>
                <w:lang w:val="en-US" w:eastAsia="zh-CN"/>
              </w:rPr>
              <w:t>链路能力。其一，为AI引擎的全场景适配优化，通过技术改进实现对不同类型模型及公域、私域模型的兼容支持；其二，为应用工厂和应用市场能力的建设，通过将不同行业目标用户的运维场景进一步抽象为数据加工和分析的业务逻辑，并提供丰富、便捷的脚手架方便用户搭建深度贴合其使用习惯的微应用，以最大化提升可观测落地场景的供给效率和用户满意度；其三，为BI业务数据处理能力的完善，区别于基础用户行为统计（如日活），重点聚焦与业务强关联的核心指标，进一步强化Bonree One业务数据处理能力。</w:t>
            </w:r>
          </w:p>
        </w:tc>
      </w:tr>
      <w:tr w14:paraId="5DBD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vAlign w:val="center"/>
          </w:tcPr>
          <w:p w14:paraId="5DC9A641">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附件清单（如有）</w:t>
            </w:r>
          </w:p>
        </w:tc>
        <w:tc>
          <w:tcPr>
            <w:tcW w:w="6263" w:type="dxa"/>
            <w:shd w:val="clear" w:color="auto" w:fill="auto"/>
          </w:tcPr>
          <w:p w14:paraId="3A4E7CB8">
            <w:pPr>
              <w:spacing w:line="240" w:lineRule="auto"/>
              <w:rPr>
                <w:rFonts w:hint="eastAsia" w:ascii="仿宋" w:hAnsi="仿宋" w:eastAsia="仿宋" w:cs="仿宋"/>
                <w:bCs/>
                <w:iCs/>
                <w:sz w:val="28"/>
                <w:szCs w:val="28"/>
                <w:lang w:val="en-US" w:eastAsia="zh-CN"/>
              </w:rPr>
            </w:pPr>
          </w:p>
        </w:tc>
      </w:tr>
      <w:tr w14:paraId="60BB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shd w:val="clear" w:color="auto" w:fill="auto"/>
            <w:vAlign w:val="center"/>
          </w:tcPr>
          <w:p w14:paraId="72B537D5">
            <w:pPr>
              <w:spacing w:line="240" w:lineRule="auto"/>
              <w:rPr>
                <w:rFonts w:hint="eastAsia" w:ascii="仿宋" w:hAnsi="仿宋" w:eastAsia="仿宋" w:cs="仿宋"/>
                <w:b/>
                <w:bCs/>
                <w:iCs/>
                <w:sz w:val="28"/>
                <w:szCs w:val="28"/>
              </w:rPr>
            </w:pPr>
            <w:r>
              <w:rPr>
                <w:rFonts w:hint="eastAsia" w:ascii="仿宋" w:hAnsi="仿宋" w:eastAsia="仿宋" w:cs="仿宋"/>
                <w:b/>
                <w:bCs/>
                <w:iCs/>
                <w:sz w:val="28"/>
                <w:szCs w:val="28"/>
              </w:rPr>
              <w:t>日期</w:t>
            </w:r>
          </w:p>
        </w:tc>
        <w:tc>
          <w:tcPr>
            <w:tcW w:w="6263" w:type="dxa"/>
            <w:shd w:val="clear" w:color="auto" w:fill="auto"/>
          </w:tcPr>
          <w:p w14:paraId="1019CAEE">
            <w:pPr>
              <w:spacing w:line="240" w:lineRule="auto"/>
              <w:rPr>
                <w:rFonts w:hint="eastAsia" w:ascii="仿宋" w:hAnsi="仿宋" w:eastAsia="仿宋" w:cs="仿宋"/>
                <w:bCs/>
                <w:iCs/>
                <w:sz w:val="28"/>
                <w:szCs w:val="28"/>
                <w:lang w:val="en-US" w:eastAsia="zh-CN"/>
              </w:rPr>
            </w:pPr>
            <w:r>
              <w:rPr>
                <w:rFonts w:hint="eastAsia" w:ascii="仿宋" w:hAnsi="仿宋" w:eastAsia="仿宋" w:cs="仿宋"/>
                <w:bCs/>
                <w:iCs/>
                <w:sz w:val="28"/>
                <w:szCs w:val="28"/>
              </w:rPr>
              <w:t>202</w:t>
            </w:r>
            <w:r>
              <w:rPr>
                <w:rFonts w:hint="eastAsia" w:ascii="仿宋" w:hAnsi="仿宋" w:eastAsia="仿宋" w:cs="仿宋"/>
                <w:bCs/>
                <w:iCs/>
                <w:sz w:val="28"/>
                <w:szCs w:val="28"/>
                <w:lang w:val="en-US" w:eastAsia="zh-CN"/>
              </w:rPr>
              <w:t>5</w:t>
            </w:r>
            <w:r>
              <w:rPr>
                <w:rFonts w:hint="eastAsia" w:ascii="仿宋" w:hAnsi="仿宋" w:eastAsia="仿宋" w:cs="仿宋"/>
                <w:bCs/>
                <w:iCs/>
                <w:sz w:val="28"/>
                <w:szCs w:val="28"/>
              </w:rPr>
              <w:t>年</w:t>
            </w:r>
            <w:r>
              <w:rPr>
                <w:rFonts w:hint="eastAsia" w:ascii="仿宋" w:hAnsi="仿宋" w:eastAsia="仿宋" w:cs="仿宋"/>
                <w:bCs/>
                <w:iCs/>
                <w:sz w:val="28"/>
                <w:szCs w:val="28"/>
                <w:lang w:val="en-US" w:eastAsia="zh-CN"/>
              </w:rPr>
              <w:t>7</w:t>
            </w:r>
            <w:r>
              <w:rPr>
                <w:rFonts w:hint="eastAsia" w:ascii="仿宋" w:hAnsi="仿宋" w:eastAsia="仿宋" w:cs="仿宋"/>
                <w:bCs/>
                <w:iCs/>
                <w:sz w:val="28"/>
                <w:szCs w:val="28"/>
              </w:rPr>
              <w:t>月</w:t>
            </w:r>
            <w:r>
              <w:rPr>
                <w:rFonts w:hint="eastAsia" w:ascii="仿宋" w:hAnsi="仿宋" w:eastAsia="仿宋" w:cs="仿宋"/>
                <w:bCs/>
                <w:iCs/>
                <w:sz w:val="28"/>
                <w:szCs w:val="28"/>
                <w:lang w:val="en-US" w:eastAsia="zh-CN"/>
              </w:rPr>
              <w:t>1</w:t>
            </w:r>
            <w:r>
              <w:rPr>
                <w:rFonts w:hint="eastAsia" w:ascii="仿宋" w:hAnsi="仿宋" w:eastAsia="仿宋" w:cs="仿宋"/>
                <w:bCs/>
                <w:iCs/>
                <w:sz w:val="28"/>
                <w:szCs w:val="28"/>
              </w:rPr>
              <w:t>日</w:t>
            </w:r>
          </w:p>
        </w:tc>
      </w:tr>
    </w:tbl>
    <w:p w14:paraId="1ED26915">
      <w:pPr>
        <w:ind w:firstLine="480" w:firstLineChars="200"/>
        <w:rPr>
          <w:sz w:val="24"/>
          <w:szCs w:val="24"/>
        </w:rPr>
      </w:pPr>
    </w:p>
    <w:p w14:paraId="132B07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5560F"/>
    <w:multiLevelType w:val="singleLevel"/>
    <w:tmpl w:val="75B5560F"/>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GQ3MThiODZlMDRiYzhkNTg5ODFlOGQxNzlhMGQifQ=="/>
  </w:docVars>
  <w:rsids>
    <w:rsidRoot w:val="00061BC0"/>
    <w:rsid w:val="000020CA"/>
    <w:rsid w:val="000076FA"/>
    <w:rsid w:val="0001014F"/>
    <w:rsid w:val="00017A1C"/>
    <w:rsid w:val="00022778"/>
    <w:rsid w:val="00023191"/>
    <w:rsid w:val="000371B3"/>
    <w:rsid w:val="00056C84"/>
    <w:rsid w:val="00061BC0"/>
    <w:rsid w:val="00064956"/>
    <w:rsid w:val="000704A2"/>
    <w:rsid w:val="0007258F"/>
    <w:rsid w:val="0007738D"/>
    <w:rsid w:val="0008650B"/>
    <w:rsid w:val="000937CB"/>
    <w:rsid w:val="000953F9"/>
    <w:rsid w:val="000B27E9"/>
    <w:rsid w:val="000B6E35"/>
    <w:rsid w:val="000B7A6D"/>
    <w:rsid w:val="000C23F7"/>
    <w:rsid w:val="000D108F"/>
    <w:rsid w:val="000D1DDE"/>
    <w:rsid w:val="000E0190"/>
    <w:rsid w:val="000E3717"/>
    <w:rsid w:val="000F61D3"/>
    <w:rsid w:val="000F723B"/>
    <w:rsid w:val="001007D0"/>
    <w:rsid w:val="001008BA"/>
    <w:rsid w:val="001113CC"/>
    <w:rsid w:val="001224F1"/>
    <w:rsid w:val="001367D2"/>
    <w:rsid w:val="00140997"/>
    <w:rsid w:val="00153C07"/>
    <w:rsid w:val="00165713"/>
    <w:rsid w:val="001713A1"/>
    <w:rsid w:val="001745A3"/>
    <w:rsid w:val="00177BCB"/>
    <w:rsid w:val="001A1627"/>
    <w:rsid w:val="001A3349"/>
    <w:rsid w:val="001B0CE6"/>
    <w:rsid w:val="001B640E"/>
    <w:rsid w:val="001C3503"/>
    <w:rsid w:val="001D1C42"/>
    <w:rsid w:val="001D22D3"/>
    <w:rsid w:val="001D3C36"/>
    <w:rsid w:val="001F582F"/>
    <w:rsid w:val="002004CB"/>
    <w:rsid w:val="002005A1"/>
    <w:rsid w:val="00213731"/>
    <w:rsid w:val="0021388F"/>
    <w:rsid w:val="0021636B"/>
    <w:rsid w:val="0025140B"/>
    <w:rsid w:val="00253DDE"/>
    <w:rsid w:val="0025607B"/>
    <w:rsid w:val="00264026"/>
    <w:rsid w:val="002734C4"/>
    <w:rsid w:val="0029219E"/>
    <w:rsid w:val="002B2B36"/>
    <w:rsid w:val="002B3A9A"/>
    <w:rsid w:val="002B5C34"/>
    <w:rsid w:val="002B5D8F"/>
    <w:rsid w:val="002C50BA"/>
    <w:rsid w:val="002C65F0"/>
    <w:rsid w:val="002D3A97"/>
    <w:rsid w:val="002D3B01"/>
    <w:rsid w:val="002D57FB"/>
    <w:rsid w:val="002F67EB"/>
    <w:rsid w:val="003075C2"/>
    <w:rsid w:val="0031204D"/>
    <w:rsid w:val="003131AC"/>
    <w:rsid w:val="0031561E"/>
    <w:rsid w:val="00317D7C"/>
    <w:rsid w:val="0032228B"/>
    <w:rsid w:val="00323252"/>
    <w:rsid w:val="00327BEB"/>
    <w:rsid w:val="003302CE"/>
    <w:rsid w:val="00333EBB"/>
    <w:rsid w:val="0036539F"/>
    <w:rsid w:val="00367661"/>
    <w:rsid w:val="00394418"/>
    <w:rsid w:val="003A481B"/>
    <w:rsid w:val="003C0ED8"/>
    <w:rsid w:val="003C5CFA"/>
    <w:rsid w:val="003E357C"/>
    <w:rsid w:val="003E4D2E"/>
    <w:rsid w:val="004142CA"/>
    <w:rsid w:val="00427220"/>
    <w:rsid w:val="00432A08"/>
    <w:rsid w:val="00454B12"/>
    <w:rsid w:val="00473806"/>
    <w:rsid w:val="0047465D"/>
    <w:rsid w:val="004915B6"/>
    <w:rsid w:val="00495BAA"/>
    <w:rsid w:val="004A3C19"/>
    <w:rsid w:val="004B6106"/>
    <w:rsid w:val="004C5E9A"/>
    <w:rsid w:val="004E15D7"/>
    <w:rsid w:val="004E669D"/>
    <w:rsid w:val="00510452"/>
    <w:rsid w:val="00513094"/>
    <w:rsid w:val="0052254B"/>
    <w:rsid w:val="00522E95"/>
    <w:rsid w:val="0053352B"/>
    <w:rsid w:val="00557266"/>
    <w:rsid w:val="00561479"/>
    <w:rsid w:val="00562BEB"/>
    <w:rsid w:val="0056672A"/>
    <w:rsid w:val="00575302"/>
    <w:rsid w:val="00577538"/>
    <w:rsid w:val="005833AD"/>
    <w:rsid w:val="00583962"/>
    <w:rsid w:val="00585002"/>
    <w:rsid w:val="00587048"/>
    <w:rsid w:val="0059075C"/>
    <w:rsid w:val="00591B1B"/>
    <w:rsid w:val="00592BCF"/>
    <w:rsid w:val="00595299"/>
    <w:rsid w:val="005A285B"/>
    <w:rsid w:val="005B4F27"/>
    <w:rsid w:val="005C61D0"/>
    <w:rsid w:val="005D6494"/>
    <w:rsid w:val="005F2D6A"/>
    <w:rsid w:val="00604916"/>
    <w:rsid w:val="00607D10"/>
    <w:rsid w:val="006169B5"/>
    <w:rsid w:val="0062329D"/>
    <w:rsid w:val="00623F5F"/>
    <w:rsid w:val="006262C6"/>
    <w:rsid w:val="006353C8"/>
    <w:rsid w:val="00647F02"/>
    <w:rsid w:val="006574AB"/>
    <w:rsid w:val="00660A36"/>
    <w:rsid w:val="00660B22"/>
    <w:rsid w:val="006635DE"/>
    <w:rsid w:val="006701B7"/>
    <w:rsid w:val="00670333"/>
    <w:rsid w:val="00676C4B"/>
    <w:rsid w:val="00680609"/>
    <w:rsid w:val="0068144D"/>
    <w:rsid w:val="00681F59"/>
    <w:rsid w:val="006827C0"/>
    <w:rsid w:val="00682A37"/>
    <w:rsid w:val="0068458C"/>
    <w:rsid w:val="006868AC"/>
    <w:rsid w:val="006874FC"/>
    <w:rsid w:val="006941B4"/>
    <w:rsid w:val="00695B5C"/>
    <w:rsid w:val="00695B7D"/>
    <w:rsid w:val="006A3AC7"/>
    <w:rsid w:val="006A5E53"/>
    <w:rsid w:val="006C2DA0"/>
    <w:rsid w:val="006C3D87"/>
    <w:rsid w:val="006C42A8"/>
    <w:rsid w:val="006F11AB"/>
    <w:rsid w:val="006F1389"/>
    <w:rsid w:val="006F6686"/>
    <w:rsid w:val="006F70AF"/>
    <w:rsid w:val="00731F23"/>
    <w:rsid w:val="00745FA5"/>
    <w:rsid w:val="00756E9F"/>
    <w:rsid w:val="0076223A"/>
    <w:rsid w:val="0076234D"/>
    <w:rsid w:val="00767742"/>
    <w:rsid w:val="00770874"/>
    <w:rsid w:val="007740B2"/>
    <w:rsid w:val="00775DAD"/>
    <w:rsid w:val="00775FCE"/>
    <w:rsid w:val="007764A8"/>
    <w:rsid w:val="00790E47"/>
    <w:rsid w:val="00791547"/>
    <w:rsid w:val="00791A61"/>
    <w:rsid w:val="00795F71"/>
    <w:rsid w:val="007A237D"/>
    <w:rsid w:val="007A5245"/>
    <w:rsid w:val="007B267E"/>
    <w:rsid w:val="007B5E02"/>
    <w:rsid w:val="007B765F"/>
    <w:rsid w:val="007C5485"/>
    <w:rsid w:val="007D376B"/>
    <w:rsid w:val="007E33B4"/>
    <w:rsid w:val="007E61D3"/>
    <w:rsid w:val="007E6261"/>
    <w:rsid w:val="007F52A2"/>
    <w:rsid w:val="00817153"/>
    <w:rsid w:val="00824892"/>
    <w:rsid w:val="00852771"/>
    <w:rsid w:val="00866DC2"/>
    <w:rsid w:val="00875446"/>
    <w:rsid w:val="008766C0"/>
    <w:rsid w:val="008768C9"/>
    <w:rsid w:val="008959F5"/>
    <w:rsid w:val="00895A9A"/>
    <w:rsid w:val="008A2505"/>
    <w:rsid w:val="008B252B"/>
    <w:rsid w:val="008B6C66"/>
    <w:rsid w:val="008D267D"/>
    <w:rsid w:val="008E0649"/>
    <w:rsid w:val="008E3257"/>
    <w:rsid w:val="008F2157"/>
    <w:rsid w:val="008F74E2"/>
    <w:rsid w:val="0092716A"/>
    <w:rsid w:val="009307BB"/>
    <w:rsid w:val="00933A0A"/>
    <w:rsid w:val="00937B98"/>
    <w:rsid w:val="009420E2"/>
    <w:rsid w:val="00951440"/>
    <w:rsid w:val="00952242"/>
    <w:rsid w:val="00952DD5"/>
    <w:rsid w:val="00971777"/>
    <w:rsid w:val="00992563"/>
    <w:rsid w:val="009927BB"/>
    <w:rsid w:val="0099727F"/>
    <w:rsid w:val="009C2048"/>
    <w:rsid w:val="009C2F09"/>
    <w:rsid w:val="009C7E22"/>
    <w:rsid w:val="009D55EA"/>
    <w:rsid w:val="009D765E"/>
    <w:rsid w:val="009E4037"/>
    <w:rsid w:val="009E5AF3"/>
    <w:rsid w:val="009F0901"/>
    <w:rsid w:val="009F444A"/>
    <w:rsid w:val="00A01EAA"/>
    <w:rsid w:val="00A057A2"/>
    <w:rsid w:val="00A17193"/>
    <w:rsid w:val="00A17B55"/>
    <w:rsid w:val="00A27CF2"/>
    <w:rsid w:val="00A3203E"/>
    <w:rsid w:val="00A42D59"/>
    <w:rsid w:val="00A51D21"/>
    <w:rsid w:val="00A53FDC"/>
    <w:rsid w:val="00A61A6F"/>
    <w:rsid w:val="00A6479A"/>
    <w:rsid w:val="00A65B87"/>
    <w:rsid w:val="00A758AB"/>
    <w:rsid w:val="00A820E5"/>
    <w:rsid w:val="00AA03E7"/>
    <w:rsid w:val="00AA31DB"/>
    <w:rsid w:val="00AB1D7D"/>
    <w:rsid w:val="00AB6B1B"/>
    <w:rsid w:val="00AD329A"/>
    <w:rsid w:val="00AD7279"/>
    <w:rsid w:val="00AE505B"/>
    <w:rsid w:val="00AF0CD2"/>
    <w:rsid w:val="00AF3820"/>
    <w:rsid w:val="00AF5ABA"/>
    <w:rsid w:val="00B00EA2"/>
    <w:rsid w:val="00B05423"/>
    <w:rsid w:val="00B05616"/>
    <w:rsid w:val="00B21143"/>
    <w:rsid w:val="00B254DD"/>
    <w:rsid w:val="00B27617"/>
    <w:rsid w:val="00B3154D"/>
    <w:rsid w:val="00B50112"/>
    <w:rsid w:val="00B5651C"/>
    <w:rsid w:val="00B81389"/>
    <w:rsid w:val="00B83F9A"/>
    <w:rsid w:val="00B9137F"/>
    <w:rsid w:val="00BA1635"/>
    <w:rsid w:val="00BA200C"/>
    <w:rsid w:val="00BA27BF"/>
    <w:rsid w:val="00BB46A3"/>
    <w:rsid w:val="00BD5145"/>
    <w:rsid w:val="00BD7350"/>
    <w:rsid w:val="00BE1997"/>
    <w:rsid w:val="00C03AA3"/>
    <w:rsid w:val="00C102D2"/>
    <w:rsid w:val="00C165A4"/>
    <w:rsid w:val="00C20E21"/>
    <w:rsid w:val="00C30054"/>
    <w:rsid w:val="00C34162"/>
    <w:rsid w:val="00C45F3F"/>
    <w:rsid w:val="00C5327D"/>
    <w:rsid w:val="00C61148"/>
    <w:rsid w:val="00C63288"/>
    <w:rsid w:val="00C66885"/>
    <w:rsid w:val="00C705A0"/>
    <w:rsid w:val="00C80D28"/>
    <w:rsid w:val="00C977F7"/>
    <w:rsid w:val="00C97D9C"/>
    <w:rsid w:val="00CB1106"/>
    <w:rsid w:val="00CB1894"/>
    <w:rsid w:val="00CB443D"/>
    <w:rsid w:val="00CB67FA"/>
    <w:rsid w:val="00CB68A7"/>
    <w:rsid w:val="00CC6CBB"/>
    <w:rsid w:val="00CC7D4E"/>
    <w:rsid w:val="00CD490A"/>
    <w:rsid w:val="00CD6940"/>
    <w:rsid w:val="00CD696B"/>
    <w:rsid w:val="00CD7471"/>
    <w:rsid w:val="00D2615D"/>
    <w:rsid w:val="00D325FB"/>
    <w:rsid w:val="00D3516C"/>
    <w:rsid w:val="00D35E5B"/>
    <w:rsid w:val="00D55BC6"/>
    <w:rsid w:val="00D62E3B"/>
    <w:rsid w:val="00D63394"/>
    <w:rsid w:val="00D73AAD"/>
    <w:rsid w:val="00D82BFF"/>
    <w:rsid w:val="00D864A9"/>
    <w:rsid w:val="00D8752C"/>
    <w:rsid w:val="00DB0433"/>
    <w:rsid w:val="00DB1C80"/>
    <w:rsid w:val="00DB403B"/>
    <w:rsid w:val="00DB44A7"/>
    <w:rsid w:val="00DB7EFE"/>
    <w:rsid w:val="00DC22F6"/>
    <w:rsid w:val="00DD14BE"/>
    <w:rsid w:val="00DE29F1"/>
    <w:rsid w:val="00DE7D4E"/>
    <w:rsid w:val="00DF0069"/>
    <w:rsid w:val="00DF3F5C"/>
    <w:rsid w:val="00DF6BCD"/>
    <w:rsid w:val="00E061D0"/>
    <w:rsid w:val="00E07B5D"/>
    <w:rsid w:val="00E1426E"/>
    <w:rsid w:val="00E30CD4"/>
    <w:rsid w:val="00E453CA"/>
    <w:rsid w:val="00E50EDB"/>
    <w:rsid w:val="00E51641"/>
    <w:rsid w:val="00E52F1F"/>
    <w:rsid w:val="00E61B6E"/>
    <w:rsid w:val="00E62E33"/>
    <w:rsid w:val="00E90D4A"/>
    <w:rsid w:val="00EA30B2"/>
    <w:rsid w:val="00EA535C"/>
    <w:rsid w:val="00EA573A"/>
    <w:rsid w:val="00EB1E73"/>
    <w:rsid w:val="00EC1901"/>
    <w:rsid w:val="00EE0D3B"/>
    <w:rsid w:val="00EE266F"/>
    <w:rsid w:val="00EE3E5D"/>
    <w:rsid w:val="00EE70A4"/>
    <w:rsid w:val="00EF30B0"/>
    <w:rsid w:val="00F05ABE"/>
    <w:rsid w:val="00F14735"/>
    <w:rsid w:val="00F21E39"/>
    <w:rsid w:val="00F2624A"/>
    <w:rsid w:val="00F50691"/>
    <w:rsid w:val="00F51C64"/>
    <w:rsid w:val="00F56FE0"/>
    <w:rsid w:val="00F62228"/>
    <w:rsid w:val="00F71751"/>
    <w:rsid w:val="00F73357"/>
    <w:rsid w:val="00F74DC5"/>
    <w:rsid w:val="00F775AE"/>
    <w:rsid w:val="00F80FCA"/>
    <w:rsid w:val="00F8119A"/>
    <w:rsid w:val="00FA04D6"/>
    <w:rsid w:val="00FA1456"/>
    <w:rsid w:val="00FA51CF"/>
    <w:rsid w:val="00FA72B5"/>
    <w:rsid w:val="00FC0AC4"/>
    <w:rsid w:val="00FC763C"/>
    <w:rsid w:val="00FD5580"/>
    <w:rsid w:val="00FF0A8C"/>
    <w:rsid w:val="00FF13F6"/>
    <w:rsid w:val="013D4B60"/>
    <w:rsid w:val="07554285"/>
    <w:rsid w:val="09D21BBD"/>
    <w:rsid w:val="0DC0614B"/>
    <w:rsid w:val="0DF006BF"/>
    <w:rsid w:val="10C41590"/>
    <w:rsid w:val="25A62424"/>
    <w:rsid w:val="264540EF"/>
    <w:rsid w:val="292C0E92"/>
    <w:rsid w:val="2D752028"/>
    <w:rsid w:val="37B83EBC"/>
    <w:rsid w:val="38A01FE9"/>
    <w:rsid w:val="4F585C8E"/>
    <w:rsid w:val="4FC3175E"/>
    <w:rsid w:val="5174795A"/>
    <w:rsid w:val="5A272E2C"/>
    <w:rsid w:val="5FA334EF"/>
    <w:rsid w:val="607E5A53"/>
    <w:rsid w:val="617B1B3B"/>
    <w:rsid w:val="6B19056F"/>
    <w:rsid w:val="6C1A00FB"/>
    <w:rsid w:val="6EF410D7"/>
    <w:rsid w:val="7487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1063</Words>
  <Characters>1153</Characters>
  <Lines>3</Lines>
  <Paragraphs>1</Paragraphs>
  <TotalTime>19</TotalTime>
  <ScaleCrop>false</ScaleCrop>
  <LinksUpToDate>false</LinksUpToDate>
  <CharactersWithSpaces>1290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2023-03-06T01:12:00Z</dcterms:created>
  <dc:creator>梁 缤予</dc:creator>
  <cp:lastModifiedBy>梁缤予</cp:lastModifiedBy>
  <dcterms:modified xsi:type="dcterms:W3CDTF">2025-07-01T07:44:26Z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AFB6A390E1DF4AE7A2726BEB6826C21D_13</vt:lpwstr>
  </property>
  <property fmtid="{D5CDD505-2E9C-101B-9397-08002B2CF9AE}" pid="4" name="KSOTemplateDocerSaveRecord">
    <vt:lpwstr>eyJoZGlkIjoiZGZmNGQ3MThiODZlMDRiYzhkNTg5ODFlOGQxNzlhMGQiLCJ1c2VySWQiOiIyNTM1Mjc5MTgifQ==</vt:lpwstr>
  </property>
</Properties>
</file>