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5EA8">
      <w:pPr>
        <w:tabs>
          <w:tab w:val="left" w:pos="3045"/>
          <w:tab w:val="left" w:pos="6285"/>
        </w:tabs>
        <w:spacing w:line="0" w:lineRule="atLeast"/>
        <w:jc w:val="both"/>
        <w:rPr>
          <w:rFonts w:ascii="宋体" w:hAnsi="宋体"/>
          <w:sz w:val="24"/>
          <w:szCs w:val="24"/>
        </w:rPr>
      </w:pPr>
      <w:r>
        <w:rPr>
          <w:rFonts w:hint="eastAsia" w:ascii="宋体" w:hAnsi="宋体"/>
          <w:sz w:val="24"/>
          <w:szCs w:val="24"/>
        </w:rPr>
        <w:t xml:space="preserve">证券代码：603218                                   证券简称：日月股份 </w:t>
      </w:r>
    </w:p>
    <w:p w14:paraId="7A3B0887">
      <w:pPr>
        <w:tabs>
          <w:tab w:val="left" w:pos="3045"/>
          <w:tab w:val="left" w:pos="6285"/>
        </w:tabs>
        <w:spacing w:line="0" w:lineRule="atLeast"/>
        <w:ind w:firstLine="472"/>
        <w:rPr>
          <w:rFonts w:ascii="宋体" w:hAnsi="宋体"/>
          <w:sz w:val="24"/>
          <w:szCs w:val="24"/>
        </w:rPr>
      </w:pPr>
    </w:p>
    <w:p w14:paraId="45C31768">
      <w:pPr>
        <w:ind w:firstLine="787"/>
        <w:jc w:val="center"/>
        <w:rPr>
          <w:rFonts w:asciiTheme="minorEastAsia" w:hAnsiTheme="minorEastAsia"/>
          <w:b/>
          <w:sz w:val="40"/>
          <w:szCs w:val="40"/>
        </w:rPr>
      </w:pPr>
      <w:r>
        <w:rPr>
          <w:rFonts w:hint="eastAsia" w:asciiTheme="minorEastAsia" w:hAnsiTheme="minorEastAsia"/>
          <w:b/>
          <w:sz w:val="40"/>
          <w:szCs w:val="40"/>
        </w:rPr>
        <w:t>日月重工股份有限公司</w:t>
      </w:r>
    </w:p>
    <w:p w14:paraId="6865CE11">
      <w:pPr>
        <w:ind w:firstLine="787"/>
        <w:jc w:val="center"/>
        <w:rPr>
          <w:rFonts w:asciiTheme="minorEastAsia" w:hAnsiTheme="minorEastAsia"/>
          <w:b/>
          <w:sz w:val="40"/>
          <w:szCs w:val="40"/>
        </w:rPr>
      </w:pPr>
      <w:r>
        <w:rPr>
          <w:rFonts w:hint="eastAsia" w:asciiTheme="minorEastAsia" w:hAnsiTheme="minorEastAsia"/>
          <w:b/>
          <w:sz w:val="40"/>
          <w:szCs w:val="40"/>
        </w:rPr>
        <w:t>投资者关系活动记录表</w:t>
      </w:r>
    </w:p>
    <w:p w14:paraId="249F417D">
      <w:pPr>
        <w:tabs>
          <w:tab w:val="left" w:pos="3045"/>
          <w:tab w:val="left" w:pos="6285"/>
        </w:tabs>
        <w:spacing w:line="0" w:lineRule="atLeast"/>
        <w:ind w:firstLine="472"/>
        <w:rPr>
          <w:rFonts w:ascii="宋体" w:hAnsi="宋体"/>
          <w:sz w:val="13"/>
          <w:szCs w:val="13"/>
        </w:rPr>
      </w:pPr>
    </w:p>
    <w:p w14:paraId="0CA00DB0">
      <w:pPr>
        <w:tabs>
          <w:tab w:val="left" w:pos="3045"/>
          <w:tab w:val="left" w:pos="6285"/>
        </w:tabs>
        <w:spacing w:line="0" w:lineRule="atLeast"/>
        <w:jc w:val="right"/>
        <w:rPr>
          <w:rFonts w:ascii="宋体" w:hAnsi="宋体"/>
          <w:sz w:val="24"/>
          <w:szCs w:val="24"/>
        </w:rPr>
      </w:pPr>
      <w:r>
        <w:rPr>
          <w:rFonts w:hint="eastAsia" w:ascii="宋体" w:hAnsi="宋体"/>
          <w:sz w:val="24"/>
          <w:szCs w:val="24"/>
        </w:rPr>
        <w:t>编号：202</w:t>
      </w:r>
      <w:r>
        <w:rPr>
          <w:rFonts w:ascii="宋体" w:hAnsi="宋体"/>
          <w:sz w:val="24"/>
          <w:szCs w:val="24"/>
        </w:rPr>
        <w:t>5</w:t>
      </w:r>
      <w:r>
        <w:rPr>
          <w:rFonts w:hint="eastAsia" w:ascii="宋体" w:hAnsi="宋体"/>
          <w:sz w:val="24"/>
          <w:szCs w:val="24"/>
        </w:rPr>
        <w:t>-0</w:t>
      </w:r>
      <w:r>
        <w:rPr>
          <w:rFonts w:ascii="宋体" w:hAnsi="宋体"/>
          <w:sz w:val="24"/>
          <w:szCs w:val="24"/>
        </w:rPr>
        <w:t>6</w:t>
      </w:r>
      <w:r>
        <w:rPr>
          <w:rFonts w:hint="eastAsia" w:ascii="宋体" w:hAnsi="宋体"/>
          <w:sz w:val="24"/>
          <w:szCs w:val="24"/>
        </w:rPr>
        <w:t>-001</w:t>
      </w:r>
    </w:p>
    <w:tbl>
      <w:tblPr>
        <w:tblStyle w:val="7"/>
        <w:tblW w:w="8978" w:type="dxa"/>
        <w:jc w:val="center"/>
        <w:tblLayout w:type="autofit"/>
        <w:tblCellMar>
          <w:top w:w="0" w:type="dxa"/>
          <w:left w:w="10" w:type="dxa"/>
          <w:bottom w:w="0" w:type="dxa"/>
          <w:right w:w="10" w:type="dxa"/>
        </w:tblCellMar>
      </w:tblPr>
      <w:tblGrid>
        <w:gridCol w:w="1843"/>
        <w:gridCol w:w="7135"/>
      </w:tblGrid>
      <w:tr w14:paraId="2355418D">
        <w:tblPrEx>
          <w:tblCellMar>
            <w:top w:w="0" w:type="dxa"/>
            <w:left w:w="10" w:type="dxa"/>
            <w:bottom w:w="0" w:type="dxa"/>
            <w:right w:w="10" w:type="dxa"/>
          </w:tblCellMar>
        </w:tblPrEx>
        <w:trPr>
          <w:trHeight w:val="1543" w:hRule="atLeast"/>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339D208">
            <w:pPr>
              <w:spacing w:line="36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投资者关系</w:t>
            </w:r>
          </w:p>
          <w:p w14:paraId="0C3B667C">
            <w:pPr>
              <w:spacing w:line="36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活动类别</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DD753F9">
            <w:pPr>
              <w:tabs>
                <w:tab w:val="left" w:pos="3045"/>
                <w:tab w:val="center" w:pos="3199"/>
              </w:tabs>
              <w:spacing w:line="360" w:lineRule="auto"/>
              <w:ind w:firstLine="472"/>
              <w:rPr>
                <w:rFonts w:asciiTheme="minorEastAsia" w:hAnsiTheme="minorEastAsia" w:eastAsiaTheme="minorEastAsia"/>
                <w:sz w:val="24"/>
                <w:szCs w:val="24"/>
              </w:rPr>
            </w:pPr>
            <w:r>
              <w:rPr>
                <w:rFonts w:hint="eastAsia" w:asciiTheme="minorEastAsia" w:hAnsiTheme="minorEastAsia" w:eastAsiaTheme="minorEastAsia"/>
                <w:sz w:val="24"/>
                <w:szCs w:val="24"/>
              </w:rPr>
              <w:sym w:font="Wingdings 2" w:char="0052"/>
            </w:r>
            <w:r>
              <w:rPr>
                <w:rFonts w:hint="eastAsia" w:asciiTheme="minorEastAsia" w:hAnsiTheme="minorEastAsia" w:eastAsiaTheme="minorEastAsia"/>
                <w:sz w:val="24"/>
                <w:szCs w:val="24"/>
              </w:rPr>
              <w:t xml:space="preserve"> 特定对象调研     □ 分析师会议    </w:t>
            </w:r>
          </w:p>
          <w:p w14:paraId="28BD68C0">
            <w:pPr>
              <w:tabs>
                <w:tab w:val="left" w:pos="3045"/>
                <w:tab w:val="center" w:pos="3199"/>
              </w:tabs>
              <w:spacing w:line="360" w:lineRule="auto"/>
              <w:ind w:firstLine="472"/>
              <w:rPr>
                <w:rFonts w:asciiTheme="minorEastAsia" w:hAnsiTheme="minorEastAsia" w:eastAsiaTheme="minorEastAsia"/>
                <w:sz w:val="24"/>
                <w:szCs w:val="24"/>
              </w:rPr>
            </w:pPr>
            <w:r>
              <w:rPr>
                <w:rFonts w:hint="eastAsia" w:asciiTheme="minorEastAsia" w:hAnsiTheme="minorEastAsia" w:eastAsiaTheme="minorEastAsia"/>
                <w:sz w:val="24"/>
                <w:szCs w:val="24"/>
              </w:rPr>
              <w:t>□ 媒体采访</w:t>
            </w:r>
            <w:bookmarkStart w:id="0" w:name="OLE_LINK3"/>
            <w:r>
              <w:rPr>
                <w:rFonts w:hint="eastAsia" w:asciiTheme="minorEastAsia" w:hAnsiTheme="minorEastAsia" w:eastAsiaTheme="minorEastAsia"/>
                <w:sz w:val="24"/>
                <w:szCs w:val="24"/>
              </w:rPr>
              <w:t xml:space="preserve">         □</w:t>
            </w:r>
            <w:bookmarkEnd w:id="0"/>
            <w:r>
              <w:rPr>
                <w:rFonts w:hint="eastAsia" w:asciiTheme="minorEastAsia" w:hAnsiTheme="minorEastAsia" w:eastAsiaTheme="minorEastAsia"/>
                <w:sz w:val="24"/>
                <w:szCs w:val="24"/>
              </w:rPr>
              <w:t xml:space="preserve"> 业绩说明会    </w:t>
            </w:r>
            <w:bookmarkStart w:id="1" w:name="OLE_LINK1"/>
            <w:r>
              <w:rPr>
                <w:rFonts w:hint="eastAsia" w:asciiTheme="minorEastAsia" w:hAnsiTheme="minorEastAsia" w:eastAsiaTheme="minorEastAsia"/>
                <w:sz w:val="24"/>
                <w:szCs w:val="24"/>
              </w:rPr>
              <w:t xml:space="preserve"> </w:t>
            </w:r>
          </w:p>
          <w:p w14:paraId="056859CE">
            <w:pPr>
              <w:tabs>
                <w:tab w:val="left" w:pos="3045"/>
                <w:tab w:val="center" w:pos="3199"/>
              </w:tabs>
              <w:spacing w:line="360" w:lineRule="auto"/>
              <w:ind w:firstLine="472"/>
              <w:rPr>
                <w:rFonts w:asciiTheme="minorEastAsia" w:hAnsiTheme="minorEastAsia" w:eastAsiaTheme="minorEastAsia"/>
                <w:sz w:val="24"/>
                <w:szCs w:val="24"/>
              </w:rPr>
            </w:pPr>
            <w:r>
              <w:rPr>
                <w:rFonts w:hint="eastAsia" w:asciiTheme="minorEastAsia" w:hAnsiTheme="minorEastAsia" w:eastAsiaTheme="minorEastAsia"/>
                <w:sz w:val="24"/>
                <w:szCs w:val="24"/>
              </w:rPr>
              <w:t>□</w:t>
            </w:r>
            <w:bookmarkEnd w:id="1"/>
            <w:r>
              <w:rPr>
                <w:rFonts w:hint="eastAsia" w:asciiTheme="minorEastAsia" w:hAnsiTheme="minorEastAsia" w:eastAsiaTheme="minorEastAsia"/>
                <w:sz w:val="24"/>
                <w:szCs w:val="24"/>
              </w:rPr>
              <w:t xml:space="preserve"> 新闻发布会       □ 路演活动</w:t>
            </w:r>
          </w:p>
          <w:p w14:paraId="0F49F554">
            <w:pPr>
              <w:tabs>
                <w:tab w:val="left" w:pos="3045"/>
                <w:tab w:val="center" w:pos="3199"/>
              </w:tabs>
              <w:spacing w:line="360" w:lineRule="auto"/>
              <w:ind w:firstLine="472"/>
              <w:rPr>
                <w:rFonts w:cs="宋体" w:asciiTheme="minorEastAsia" w:hAnsiTheme="minorEastAsia" w:eastAsiaTheme="minorEastAsia"/>
                <w:sz w:val="24"/>
                <w:szCs w:val="24"/>
              </w:rPr>
            </w:pPr>
            <w:r>
              <w:rPr>
                <w:rFonts w:hint="eastAsia" w:asciiTheme="minorEastAsia" w:hAnsiTheme="minorEastAsia" w:eastAsiaTheme="minorEastAsia"/>
                <w:sz w:val="24"/>
                <w:szCs w:val="24"/>
              </w:rPr>
              <w:sym w:font="Wingdings 2" w:char="0052"/>
            </w:r>
            <w:r>
              <w:rPr>
                <w:rFonts w:hint="eastAsia" w:asciiTheme="minorEastAsia" w:hAnsiTheme="minorEastAsia" w:eastAsiaTheme="minorEastAsia"/>
                <w:sz w:val="24"/>
                <w:szCs w:val="24"/>
              </w:rPr>
              <w:t xml:space="preserve"> 现场接待  </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r>
              <w:rPr>
                <w:rFonts w:hint="eastAsia" w:asciiTheme="minorEastAsia" w:hAnsiTheme="minorEastAsia" w:eastAsiaTheme="minorEastAsia"/>
                <w:sz w:val="24"/>
                <w:szCs w:val="24"/>
              </w:rPr>
              <w:t>□ 其他（</w:t>
            </w:r>
            <w:bookmarkStart w:id="2" w:name="OLE_LINK2"/>
            <w:r>
              <w:rPr>
                <w:rFonts w:hint="eastAsia" w:asciiTheme="minorEastAsia" w:hAnsiTheme="minorEastAsia" w:eastAsiaTheme="minorEastAsia"/>
                <w:sz w:val="24"/>
                <w:szCs w:val="24"/>
              </w:rPr>
              <w:t>电话会议</w:t>
            </w:r>
            <w:bookmarkEnd w:id="2"/>
            <w:r>
              <w:rPr>
                <w:rFonts w:hint="eastAsia" w:asciiTheme="minorEastAsia" w:hAnsiTheme="minorEastAsia" w:eastAsiaTheme="minorEastAsia"/>
                <w:sz w:val="24"/>
                <w:szCs w:val="24"/>
              </w:rPr>
              <w:t>）</w:t>
            </w:r>
          </w:p>
        </w:tc>
      </w:tr>
      <w:tr w14:paraId="4138A903">
        <w:tblPrEx>
          <w:tblCellMar>
            <w:top w:w="0" w:type="dxa"/>
            <w:left w:w="10" w:type="dxa"/>
            <w:bottom w:w="0" w:type="dxa"/>
            <w:right w:w="10" w:type="dxa"/>
          </w:tblCellMar>
        </w:tblPrEx>
        <w:trPr>
          <w:trHeight w:val="1" w:hRule="atLeast"/>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8C0943E">
            <w:pPr>
              <w:spacing w:line="36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参与单位名称</w:t>
            </w:r>
            <w:r>
              <w:rPr>
                <w:rFonts w:hint="eastAsia" w:cs="宋体" w:asciiTheme="minorEastAsia" w:hAnsiTheme="minorEastAsia" w:eastAsiaTheme="minorEastAsia"/>
                <w:b/>
                <w:sz w:val="24"/>
                <w:szCs w:val="24"/>
              </w:rPr>
              <w:t>及</w:t>
            </w:r>
            <w:r>
              <w:rPr>
                <w:rFonts w:cs="宋体" w:asciiTheme="minorEastAsia" w:hAnsiTheme="minorEastAsia" w:eastAsiaTheme="minorEastAsia"/>
                <w:b/>
                <w:sz w:val="24"/>
                <w:szCs w:val="24"/>
              </w:rPr>
              <w:t>人员名单</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562EFAF">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朱雀基金管理有限公司：杨杰</w:t>
            </w:r>
          </w:p>
          <w:p w14:paraId="08D2C59D">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华泰证券股份有限公司：田文涛</w:t>
            </w:r>
          </w:p>
          <w:p w14:paraId="18405542">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敦和资产管理有限公司：陈俊源</w:t>
            </w:r>
          </w:p>
          <w:p w14:paraId="2F03D615">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华创证券有限责任公司：吴含</w:t>
            </w:r>
          </w:p>
        </w:tc>
      </w:tr>
      <w:tr w14:paraId="35D52797">
        <w:tblPrEx>
          <w:tblCellMar>
            <w:top w:w="0" w:type="dxa"/>
            <w:left w:w="10" w:type="dxa"/>
            <w:bottom w:w="0" w:type="dxa"/>
            <w:right w:w="10" w:type="dxa"/>
          </w:tblCellMar>
        </w:tblPrEx>
        <w:trPr>
          <w:trHeight w:val="90" w:hRule="atLeast"/>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5B8B993">
            <w:pPr>
              <w:spacing w:line="360" w:lineRule="auto"/>
              <w:jc w:val="center"/>
              <w:rPr>
                <w:rFonts w:cs="宋体" w:asciiTheme="minorEastAsia" w:hAnsiTheme="minorEastAsia" w:eastAsiaTheme="minorEastAsia"/>
                <w:sz w:val="24"/>
                <w:szCs w:val="24"/>
              </w:rPr>
            </w:pPr>
            <w:r>
              <w:rPr>
                <w:rFonts w:cs="宋体" w:asciiTheme="minorEastAsia" w:hAnsiTheme="minorEastAsia" w:eastAsiaTheme="minorEastAsia"/>
                <w:b/>
                <w:sz w:val="24"/>
                <w:szCs w:val="24"/>
              </w:rPr>
              <w:t>时间</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AB3FBF2">
            <w:pPr>
              <w:spacing w:line="360" w:lineRule="auto"/>
              <w:rPr>
                <w:rFonts w:asciiTheme="minorEastAsia" w:hAnsiTheme="minorEastAsia" w:eastAsiaTheme="minorEastAsia"/>
                <w:sz w:val="24"/>
                <w:szCs w:val="24"/>
              </w:rPr>
            </w:pPr>
            <w:bookmarkStart w:id="3" w:name="OLE_LINK4"/>
            <w:r>
              <w:rPr>
                <w:rFonts w:asciiTheme="minorEastAsia" w:hAnsiTheme="minorEastAsia" w:eastAsiaTheme="minorEastAsia"/>
                <w:sz w:val="24"/>
                <w:szCs w:val="24"/>
              </w:rPr>
              <w:t>2025</w:t>
            </w:r>
            <w:r>
              <w:rPr>
                <w:rFonts w:hint="eastAsia" w:asciiTheme="minorEastAsia" w:hAnsiTheme="minorEastAsia" w:eastAsiaTheme="minorEastAsia"/>
                <w:sz w:val="24"/>
                <w:szCs w:val="24"/>
              </w:rPr>
              <w:t>年</w:t>
            </w:r>
            <w:bookmarkEnd w:id="3"/>
            <w:r>
              <w:rPr>
                <w:rFonts w:asciiTheme="minorEastAsia" w:hAnsiTheme="minorEastAsia" w:eastAsiaTheme="minorEastAsia"/>
                <w:sz w:val="24"/>
                <w:szCs w:val="24"/>
              </w:rPr>
              <w:t>6</w:t>
            </w:r>
            <w:r>
              <w:rPr>
                <w:rFonts w:hint="eastAsia" w:asciiTheme="minorEastAsia" w:hAnsiTheme="minorEastAsia" w:eastAsiaTheme="minorEastAsia"/>
                <w:sz w:val="24"/>
                <w:szCs w:val="24"/>
              </w:rPr>
              <w:t>月</w:t>
            </w:r>
          </w:p>
        </w:tc>
      </w:tr>
      <w:tr w14:paraId="72861ECB">
        <w:tblPrEx>
          <w:tblCellMar>
            <w:top w:w="0" w:type="dxa"/>
            <w:left w:w="10" w:type="dxa"/>
            <w:bottom w:w="0" w:type="dxa"/>
            <w:right w:w="10" w:type="dxa"/>
          </w:tblCellMar>
        </w:tblPrEx>
        <w:trPr>
          <w:trHeight w:val="1" w:hRule="atLeast"/>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5C99EE">
            <w:pPr>
              <w:spacing w:line="36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地点</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48A23A3">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浙江省宁波市鄞州区首南街道天智巷7号日月星座大厦3楼会议室</w:t>
            </w:r>
          </w:p>
        </w:tc>
      </w:tr>
      <w:tr w14:paraId="1F5AF65C">
        <w:tblPrEx>
          <w:tblCellMar>
            <w:top w:w="0" w:type="dxa"/>
            <w:left w:w="10" w:type="dxa"/>
            <w:bottom w:w="0" w:type="dxa"/>
            <w:right w:w="10" w:type="dxa"/>
          </w:tblCellMar>
        </w:tblPrEx>
        <w:trPr>
          <w:trHeight w:val="1" w:hRule="atLeast"/>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E58583F">
            <w:pPr>
              <w:spacing w:line="360" w:lineRule="auto"/>
              <w:jc w:val="center"/>
              <w:rPr>
                <w:rFonts w:cs="宋体" w:asciiTheme="minorEastAsia" w:hAnsiTheme="minorEastAsia" w:eastAsiaTheme="minorEastAsia"/>
                <w:sz w:val="24"/>
                <w:szCs w:val="24"/>
              </w:rPr>
            </w:pPr>
            <w:r>
              <w:rPr>
                <w:rFonts w:cs="宋体" w:asciiTheme="minorEastAsia" w:hAnsiTheme="minorEastAsia" w:eastAsiaTheme="minorEastAsia"/>
                <w:b/>
                <w:sz w:val="24"/>
                <w:szCs w:val="24"/>
              </w:rPr>
              <w:t>上市公司接待人员及职务</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0866845">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财务负责人：杜志</w:t>
            </w:r>
          </w:p>
        </w:tc>
      </w:tr>
      <w:tr w14:paraId="4A5D59DB">
        <w:tblPrEx>
          <w:tblCellMar>
            <w:top w:w="0" w:type="dxa"/>
            <w:left w:w="10" w:type="dxa"/>
            <w:bottom w:w="0" w:type="dxa"/>
            <w:right w:w="10" w:type="dxa"/>
          </w:tblCellMar>
        </w:tblPrEx>
        <w:trPr>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FA9F259">
            <w:pPr>
              <w:spacing w:line="36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投资者关系</w:t>
            </w:r>
          </w:p>
          <w:p w14:paraId="35C332C0">
            <w:pPr>
              <w:spacing w:line="36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活动主要内容介绍</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C7EB151">
            <w:pPr>
              <w:adjustRightInd w:val="0"/>
              <w:snapToGrid w:val="0"/>
              <w:spacing w:before="156" w:beforeLines="50" w:line="360" w:lineRule="auto"/>
              <w:ind w:firstLine="472" w:firstLineChars="196"/>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交流内容主要如下：</w:t>
            </w:r>
          </w:p>
          <w:p w14:paraId="467C21CC">
            <w:pPr>
              <w:adjustRightInd w:val="0"/>
              <w:snapToGrid w:val="0"/>
              <w:spacing w:line="360" w:lineRule="auto"/>
              <w:ind w:firstLine="480" w:firstLineChars="200"/>
              <w:jc w:val="both"/>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、公司如何看待未来风电行业发展趋势?</w:t>
            </w:r>
          </w:p>
          <w:p w14:paraId="1675EC61">
            <w:pPr>
              <w:adjustRightInd w:val="0"/>
              <w:snapToGrid w:val="0"/>
              <w:spacing w:line="360" w:lineRule="auto"/>
              <w:ind w:firstLine="480" w:firstLineChars="200"/>
              <w:jc w:val="both"/>
              <w:rPr>
                <w:rFonts w:hint="eastAsia" w:ascii="宋体" w:hAnsi="宋体"/>
                <w:sz w:val="24"/>
                <w:szCs w:val="24"/>
              </w:rPr>
            </w:pPr>
            <w:r>
              <w:rPr>
                <w:rFonts w:hint="eastAsia" w:ascii="宋体" w:hAnsi="宋体"/>
                <w:sz w:val="24"/>
                <w:szCs w:val="24"/>
              </w:rPr>
              <w:t>答：2024年10月18日</w:t>
            </w:r>
            <w:r>
              <w:rPr>
                <w:rFonts w:hint="eastAsia" w:ascii="宋体" w:hAnsi="宋体"/>
                <w:sz w:val="24"/>
                <w:szCs w:val="24"/>
                <w:lang w:eastAsia="zh-CN"/>
              </w:rPr>
              <w:t>，</w:t>
            </w:r>
            <w:r>
              <w:rPr>
                <w:rFonts w:hint="eastAsia" w:ascii="宋体" w:hAnsi="宋体"/>
                <w:sz w:val="24"/>
                <w:szCs w:val="24"/>
              </w:rPr>
              <w:t>国家发展改革委等部门发布《关于大力实施可再生能源替代行动的指导意见》，要求大力实施可再生能源替代，全面提升可再生能源供给能力，加快推进以沙漠、戈壁、荒漠地区为重点的大型风电光伏基地建设，推动海上风电集群化开发。国际可再生能源署（IRENA）发布《2025年可再生能源装机容量统计报告》指出，2024年，全球可再生能源装机容量新增585吉瓦，占全球新增电力装机容量的92.5%，年增长率达到15.1%</w:t>
            </w:r>
            <w:r>
              <w:rPr>
                <w:rFonts w:hint="eastAsia" w:ascii="宋体" w:hAnsi="宋体"/>
                <w:sz w:val="24"/>
                <w:szCs w:val="24"/>
                <w:lang w:eastAsia="zh-CN"/>
              </w:rPr>
              <w:t>，</w:t>
            </w:r>
            <w:r>
              <w:rPr>
                <w:rFonts w:hint="eastAsia" w:ascii="宋体" w:hAnsi="宋体"/>
                <w:sz w:val="24"/>
                <w:szCs w:val="24"/>
              </w:rPr>
              <w:t>创下历史新高。根据国家能源局发布的1-5月份全国电力工业统计数据，截至5月底，全国累计发电装机容量36.1亿千瓦，同比增长18.8%</w:t>
            </w:r>
            <w:r>
              <w:rPr>
                <w:rFonts w:hint="eastAsia" w:ascii="宋体" w:hAnsi="宋体"/>
                <w:sz w:val="24"/>
                <w:szCs w:val="24"/>
                <w:lang w:eastAsia="zh-CN"/>
              </w:rPr>
              <w:t>。</w:t>
            </w:r>
            <w:r>
              <w:rPr>
                <w:rFonts w:hint="eastAsia" w:ascii="宋体" w:hAnsi="宋体"/>
                <w:sz w:val="24"/>
                <w:szCs w:val="24"/>
              </w:rPr>
              <w:t>其中</w:t>
            </w:r>
            <w:r>
              <w:rPr>
                <w:rFonts w:hint="eastAsia" w:ascii="宋体" w:hAnsi="宋体"/>
                <w:sz w:val="24"/>
                <w:szCs w:val="24"/>
                <w:lang w:eastAsia="zh-CN"/>
              </w:rPr>
              <w:t>，</w:t>
            </w:r>
            <w:r>
              <w:rPr>
                <w:rFonts w:hint="eastAsia" w:ascii="宋体" w:hAnsi="宋体"/>
                <w:sz w:val="24"/>
                <w:szCs w:val="24"/>
              </w:rPr>
              <w:t>太阳能发电装机容量10.8亿千瓦</w:t>
            </w:r>
            <w:r>
              <w:rPr>
                <w:rFonts w:hint="eastAsia" w:ascii="宋体" w:hAnsi="宋体"/>
                <w:sz w:val="24"/>
                <w:szCs w:val="24"/>
                <w:lang w:eastAsia="zh-CN"/>
              </w:rPr>
              <w:t>，</w:t>
            </w:r>
            <w:r>
              <w:rPr>
                <w:rFonts w:hint="eastAsia" w:ascii="宋体" w:hAnsi="宋体"/>
                <w:sz w:val="24"/>
                <w:szCs w:val="24"/>
              </w:rPr>
              <w:t>同比增长56.9%</w:t>
            </w:r>
            <w:r>
              <w:rPr>
                <w:rFonts w:hint="eastAsia" w:ascii="宋体" w:hAnsi="宋体"/>
                <w:sz w:val="24"/>
                <w:szCs w:val="24"/>
                <w:lang w:eastAsia="zh-CN"/>
              </w:rPr>
              <w:t>；</w:t>
            </w:r>
            <w:r>
              <w:rPr>
                <w:rFonts w:hint="eastAsia" w:ascii="宋体" w:hAnsi="宋体"/>
                <w:sz w:val="24"/>
                <w:szCs w:val="24"/>
              </w:rPr>
              <w:t>风电装机容量5.7亿千瓦</w:t>
            </w:r>
            <w:r>
              <w:rPr>
                <w:rFonts w:hint="eastAsia" w:ascii="宋体" w:hAnsi="宋体"/>
                <w:sz w:val="24"/>
                <w:szCs w:val="24"/>
                <w:lang w:eastAsia="zh-CN"/>
              </w:rPr>
              <w:t>，</w:t>
            </w:r>
            <w:r>
              <w:rPr>
                <w:rFonts w:hint="eastAsia" w:ascii="宋体" w:hAnsi="宋体"/>
                <w:sz w:val="24"/>
                <w:szCs w:val="24"/>
              </w:rPr>
              <w:t>同比增长23.1%。</w:t>
            </w:r>
          </w:p>
          <w:p w14:paraId="6B1F232C">
            <w:pPr>
              <w:adjustRightInd w:val="0"/>
              <w:snapToGrid w:val="0"/>
              <w:spacing w:line="360" w:lineRule="auto"/>
              <w:ind w:firstLine="480" w:firstLineChars="200"/>
              <w:jc w:val="both"/>
              <w:rPr>
                <w:rFonts w:hint="eastAsia" w:ascii="宋体" w:hAnsi="宋体"/>
                <w:sz w:val="24"/>
                <w:szCs w:val="24"/>
              </w:rPr>
            </w:pPr>
            <w:r>
              <w:rPr>
                <w:rFonts w:hint="eastAsia" w:ascii="宋体" w:hAnsi="宋体"/>
                <w:sz w:val="24"/>
                <w:szCs w:val="24"/>
              </w:rPr>
              <w:t>2025年和</w:t>
            </w:r>
            <w:r>
              <w:rPr>
                <w:rFonts w:hint="eastAsia" w:ascii="宋体" w:hAnsi="宋体"/>
                <w:sz w:val="24"/>
                <w:szCs w:val="24"/>
                <w:lang w:eastAsia="zh-CN"/>
              </w:rPr>
              <w:t>“</w:t>
            </w:r>
            <w:r>
              <w:rPr>
                <w:rFonts w:hint="eastAsia" w:ascii="宋体" w:hAnsi="宋体"/>
                <w:sz w:val="24"/>
                <w:szCs w:val="24"/>
              </w:rPr>
              <w:t>十五五</w:t>
            </w:r>
            <w:r>
              <w:rPr>
                <w:rFonts w:hint="eastAsia" w:ascii="宋体" w:hAnsi="宋体"/>
                <w:sz w:val="24"/>
                <w:szCs w:val="24"/>
                <w:lang w:eastAsia="zh-CN"/>
              </w:rPr>
              <w:t>”</w:t>
            </w:r>
            <w:r>
              <w:rPr>
                <w:rFonts w:hint="eastAsia" w:ascii="宋体" w:hAnsi="宋体"/>
                <w:sz w:val="24"/>
                <w:szCs w:val="24"/>
              </w:rPr>
              <w:t>时期是加快构建新型能源体系、推动能源高质量发展、高水平安全的关键时期</w:t>
            </w:r>
            <w:r>
              <w:rPr>
                <w:rFonts w:hint="eastAsia" w:ascii="宋体" w:hAnsi="宋体"/>
                <w:sz w:val="24"/>
                <w:szCs w:val="24"/>
                <w:lang w:eastAsia="zh-CN"/>
              </w:rPr>
              <w:t>，</w:t>
            </w:r>
            <w:r>
              <w:rPr>
                <w:rFonts w:hint="eastAsia" w:ascii="宋体" w:hAnsi="宋体"/>
                <w:sz w:val="24"/>
                <w:szCs w:val="24"/>
              </w:rPr>
              <w:t>风电行业今年整体发展趋势向好。</w:t>
            </w:r>
          </w:p>
          <w:p w14:paraId="753D40AB">
            <w:p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2、公司2</w:t>
            </w:r>
            <w:r>
              <w:rPr>
                <w:rFonts w:ascii="宋体" w:hAnsi="宋体"/>
                <w:sz w:val="24"/>
                <w:szCs w:val="24"/>
              </w:rPr>
              <w:t>024</w:t>
            </w:r>
            <w:r>
              <w:rPr>
                <w:rFonts w:hint="eastAsia" w:ascii="宋体" w:hAnsi="宋体"/>
                <w:sz w:val="24"/>
                <w:szCs w:val="24"/>
              </w:rPr>
              <w:t>年在E</w:t>
            </w:r>
            <w:r>
              <w:rPr>
                <w:rFonts w:ascii="宋体" w:hAnsi="宋体"/>
                <w:sz w:val="24"/>
                <w:szCs w:val="24"/>
              </w:rPr>
              <w:t>SG</w:t>
            </w:r>
            <w:r>
              <w:rPr>
                <w:rFonts w:hint="eastAsia" w:ascii="宋体" w:hAnsi="宋体"/>
                <w:sz w:val="24"/>
                <w:szCs w:val="24"/>
              </w:rPr>
              <w:t>方面有哪些举措？</w:t>
            </w:r>
          </w:p>
          <w:p w14:paraId="09DA835E">
            <w:p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答：公司始终秉持可持续发展理念，积极履行社会责任。2</w:t>
            </w:r>
            <w:r>
              <w:rPr>
                <w:rFonts w:ascii="宋体" w:hAnsi="宋体"/>
                <w:sz w:val="24"/>
                <w:szCs w:val="24"/>
              </w:rPr>
              <w:t>024</w:t>
            </w:r>
            <w:r>
              <w:rPr>
                <w:rFonts w:hint="eastAsia" w:ascii="宋体" w:hAnsi="宋体"/>
                <w:sz w:val="24"/>
                <w:szCs w:val="24"/>
              </w:rPr>
              <w:t>年，公司在ESG领域实施了多项重要举措。环境治理方面，公司通过技术改造与新增环保除尘设备减少了固废和废气排放，全年通过10.1MW和5.1MW光伏项目合计节约用电约1,104.83万度</w:t>
            </w:r>
            <w:r>
              <w:rPr>
                <w:rFonts w:hint="eastAsia" w:ascii="宋体" w:hAnsi="宋体"/>
                <w:sz w:val="24"/>
                <w:szCs w:val="24"/>
                <w:lang w:eastAsia="zh-CN"/>
              </w:rPr>
              <w:t>，</w:t>
            </w:r>
            <w:r>
              <w:rPr>
                <w:rFonts w:hint="eastAsia" w:ascii="宋体" w:hAnsi="宋体"/>
                <w:sz w:val="24"/>
                <w:szCs w:val="24"/>
              </w:rPr>
              <w:t>减碳措施成效显著。社会责任方面，公司高度重视社会责任的履行，积极投身社会公益活动，持续完善员工薪酬福利体系，强化供应链风险管控，为企业发展稳定筑牢根基。公司治理方面，公司严格遵循《中华人民共和国公司法》《中华人民共和国证券法》等法律法规，完善内控体系，规范股东大会、董事会运作机制，确保信息披露的及时性与透明度，同时履行上市公司分红承诺，结合发展阶段实施现金分红回报股东。</w:t>
            </w:r>
          </w:p>
          <w:p w14:paraId="2FB91CC2">
            <w:pPr>
              <w:adjustRightInd w:val="0"/>
              <w:snapToGrid w:val="0"/>
              <w:spacing w:line="360" w:lineRule="auto"/>
              <w:ind w:firstLine="480" w:firstLineChars="200"/>
              <w:jc w:val="both"/>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、2024年公司人员数量有什么变化？</w:t>
            </w:r>
          </w:p>
          <w:p w14:paraId="7906DDC0">
            <w:pPr>
              <w:adjustRightInd w:val="0"/>
              <w:snapToGrid w:val="0"/>
              <w:spacing w:line="360" w:lineRule="auto"/>
              <w:ind w:firstLine="480" w:firstLineChars="200"/>
              <w:jc w:val="both"/>
              <w:rPr>
                <w:rFonts w:hint="default" w:ascii="宋体" w:hAnsi="宋体" w:eastAsia="宋体"/>
                <w:sz w:val="24"/>
                <w:szCs w:val="24"/>
                <w:lang w:val="en-US" w:eastAsia="zh-CN"/>
              </w:rPr>
            </w:pPr>
            <w:r>
              <w:rPr>
                <w:rFonts w:hint="eastAsia" w:ascii="宋体" w:hAnsi="宋体"/>
                <w:sz w:val="24"/>
                <w:szCs w:val="24"/>
              </w:rPr>
              <w:t>答：截至2024年12月31日，公司在职员工的数量合计4,747人，其中母公司在职员工1,900人，主要子公司在职员工2,848人。公司2024年12月31日在职员工数量比2023年12月31日增加677人，主要</w:t>
            </w:r>
            <w:r>
              <w:rPr>
                <w:rFonts w:hint="eastAsia" w:ascii="宋体" w:hAnsi="宋体"/>
                <w:sz w:val="24"/>
                <w:szCs w:val="24"/>
                <w:lang w:val="en-US" w:eastAsia="zh-CN"/>
              </w:rPr>
              <w:t>为产品生产和新产品研发增加了</w:t>
            </w:r>
            <w:r>
              <w:rPr>
                <w:rFonts w:hint="eastAsia" w:ascii="宋体" w:hAnsi="宋体"/>
                <w:sz w:val="24"/>
                <w:szCs w:val="24"/>
              </w:rPr>
              <w:t>生产人员和技术人员。</w:t>
            </w:r>
          </w:p>
          <w:p w14:paraId="7183CCBA">
            <w:p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4、公司铸钢业务有哪些进展？</w:t>
            </w:r>
          </w:p>
          <w:p w14:paraId="4D30EB4D">
            <w:p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答：公司铸钢产品主要集中于新能源行业,包括水利、水电、轴流泵、船舶行业、海工装等部件,且后续还会延伸至海工飘浮式风电平台领域。随着2024年一系列新设备的投入使用,目前公司已经具备了铸造大吨位铸钢件的能力。公司持续拓展铸钢产能规模，调整产品结构，逐步从合金钢领域向超级双相钢领域发展转型。</w:t>
            </w:r>
          </w:p>
          <w:p w14:paraId="5967CB9E">
            <w:p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5、汇率变化对公司有什么影响吗？</w:t>
            </w:r>
          </w:p>
          <w:p w14:paraId="270FFEAA">
            <w:p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答：公司</w:t>
            </w:r>
            <w:r>
              <w:rPr>
                <w:rFonts w:hint="eastAsia" w:ascii="宋体" w:hAnsi="宋体"/>
                <w:sz w:val="24"/>
                <w:szCs w:val="24"/>
                <w:lang w:val="en-US" w:eastAsia="zh-CN"/>
              </w:rPr>
              <w:t>出口业务</w:t>
            </w:r>
            <w:r>
              <w:rPr>
                <w:rFonts w:hint="eastAsia" w:ascii="宋体" w:hAnsi="宋体"/>
                <w:sz w:val="24"/>
                <w:szCs w:val="24"/>
              </w:rPr>
              <w:t>主要结算币种为欧元、美元等，随着公司海外业务收入的提升，人民币对欧元、美元等货币汇率的波动可能在一定程度上对公司的盈利情况产生影响。</w:t>
            </w:r>
          </w:p>
          <w:p w14:paraId="6F1C3E76">
            <w:p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6、公司如何看待风机大型化的趋势？</w:t>
            </w:r>
          </w:p>
          <w:p w14:paraId="0656C8AD">
            <w:pPr>
              <w:adjustRightInd w:val="0"/>
              <w:snapToGrid w:val="0"/>
              <w:spacing w:line="360" w:lineRule="auto"/>
              <w:ind w:firstLine="480" w:firstLineChars="200"/>
              <w:jc w:val="both"/>
              <w:rPr>
                <w:rFonts w:hint="eastAsia" w:ascii="宋体" w:hAnsi="宋体"/>
                <w:sz w:val="24"/>
                <w:szCs w:val="24"/>
              </w:rPr>
            </w:pPr>
            <w:r>
              <w:rPr>
                <w:rFonts w:hint="eastAsia" w:ascii="宋体" w:hAnsi="宋体"/>
                <w:sz w:val="24"/>
                <w:szCs w:val="24"/>
              </w:rPr>
              <w:t>答：随着风电技术进步和海上风电发展,风电主机功率大型化成为趋势,亦带动风电主轴趋向大型化。大风机单机功率大、单位面积装机容量大,对风能的利用效率高,发电效益更好,从而降低</w:t>
            </w:r>
            <w:r>
              <w:rPr>
                <w:rFonts w:hint="eastAsia" w:ascii="宋体" w:hAnsi="宋体"/>
                <w:sz w:val="24"/>
                <w:szCs w:val="24"/>
                <w:lang w:val="en-US" w:eastAsia="zh-CN"/>
              </w:rPr>
              <w:t>了每兆瓦的成本</w:t>
            </w:r>
            <w:r>
              <w:rPr>
                <w:rFonts w:hint="eastAsia" w:ascii="宋体" w:hAnsi="宋体"/>
                <w:sz w:val="24"/>
                <w:szCs w:val="24"/>
              </w:rPr>
              <w:t>。为应对这种趋势,我们将持续研发大兆瓦风电产品,抢占国内外海上风电市场制高点。</w:t>
            </w:r>
          </w:p>
          <w:p w14:paraId="05842B1F">
            <w:pPr>
              <w:numPr>
                <w:ilvl w:val="0"/>
                <w:numId w:val="1"/>
              </w:numPr>
              <w:adjustRightInd w:val="0"/>
              <w:snapToGrid w:val="0"/>
              <w:spacing w:line="360" w:lineRule="auto"/>
              <w:ind w:firstLine="480" w:firstLineChars="200"/>
              <w:jc w:val="both"/>
              <w:rPr>
                <w:rFonts w:hint="eastAsia" w:ascii="宋体" w:hAnsi="宋体"/>
                <w:sz w:val="24"/>
                <w:szCs w:val="24"/>
                <w:lang w:val="en-US" w:eastAsia="zh-CN"/>
              </w:rPr>
            </w:pPr>
            <w:r>
              <w:rPr>
                <w:rFonts w:hint="eastAsia" w:ascii="宋体" w:hAnsi="宋体"/>
                <w:sz w:val="24"/>
                <w:szCs w:val="24"/>
                <w:lang w:val="en-US" w:eastAsia="zh-CN"/>
              </w:rPr>
              <w:t>公司2024年的利润分配情况如何？</w:t>
            </w:r>
          </w:p>
          <w:p w14:paraId="6BF162D3">
            <w:pPr>
              <w:numPr>
                <w:ilvl w:val="0"/>
                <w:numId w:val="0"/>
              </w:numPr>
              <w:adjustRightInd w:val="0"/>
              <w:snapToGrid w:val="0"/>
              <w:spacing w:line="360" w:lineRule="auto"/>
              <w:ind w:firstLine="480"/>
              <w:jc w:val="both"/>
              <w:rPr>
                <w:rFonts w:hint="default" w:ascii="宋体" w:hAnsi="宋体"/>
                <w:sz w:val="24"/>
                <w:szCs w:val="24"/>
                <w:lang w:val="en-US" w:eastAsia="zh-CN"/>
              </w:rPr>
            </w:pPr>
            <w:r>
              <w:rPr>
                <w:rFonts w:hint="eastAsia" w:ascii="宋体" w:hAnsi="宋体"/>
                <w:sz w:val="24"/>
                <w:szCs w:val="24"/>
                <w:lang w:val="en-US" w:eastAsia="zh-CN"/>
              </w:rPr>
              <w:t>答：2024年度公司共实现归属于上市公司股东的净利润623,809,070.27元，截至2024年12月31日，母公司可供分配的利润为963,625,602.84元。为积极回报股东，与所有股东分享公司发展的经营成果，在符合利润分配原则、保证公司正常经营和长远发展的前提下，公司拟向全体股东每股派发现金股利0.35元（含税），以总股本1,030,416,250股扣除股份回购专用证券账户（账户号码：B883182339）中的11,332,700股后的总股本1,019,083,550股为基数，合计拟派发现金红利356,679,242.50元（含税），</w:t>
            </w:r>
            <w:r>
              <w:rPr>
                <w:rFonts w:hint="default" w:ascii="宋体" w:hAnsi="宋体"/>
                <w:sz w:val="24"/>
                <w:szCs w:val="24"/>
                <w:lang w:val="en-US" w:eastAsia="zh-CN"/>
              </w:rPr>
              <w:t>具体以权益分派实施结果为准。</w:t>
            </w:r>
          </w:p>
        </w:tc>
      </w:tr>
      <w:tr w14:paraId="2EAACCBF">
        <w:tblPrEx>
          <w:tblCellMar>
            <w:top w:w="0" w:type="dxa"/>
            <w:left w:w="10" w:type="dxa"/>
            <w:bottom w:w="0" w:type="dxa"/>
            <w:right w:w="10" w:type="dxa"/>
          </w:tblCellMar>
        </w:tblPrEx>
        <w:trPr>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A4D0B8F">
            <w:pPr>
              <w:spacing w:line="36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附件清单</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8C16774">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无</w:t>
            </w:r>
          </w:p>
        </w:tc>
      </w:tr>
      <w:tr w14:paraId="635BE696">
        <w:tblPrEx>
          <w:tblCellMar>
            <w:top w:w="0" w:type="dxa"/>
            <w:left w:w="10" w:type="dxa"/>
            <w:bottom w:w="0" w:type="dxa"/>
            <w:right w:w="10" w:type="dxa"/>
          </w:tblCellMar>
        </w:tblPrEx>
        <w:trPr>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97D7BBF">
            <w:pPr>
              <w:spacing w:line="36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是否涉及应当披露重大信息的说明</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E014FB7">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否</w:t>
            </w:r>
          </w:p>
        </w:tc>
      </w:tr>
      <w:tr w14:paraId="3FD0D783">
        <w:tblPrEx>
          <w:tblCellMar>
            <w:top w:w="0" w:type="dxa"/>
            <w:left w:w="10" w:type="dxa"/>
            <w:bottom w:w="0" w:type="dxa"/>
            <w:right w:w="10" w:type="dxa"/>
          </w:tblCellMar>
        </w:tblPrEx>
        <w:trPr>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7A9F0CB">
            <w:pPr>
              <w:spacing w:line="36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其他说明</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D876F98">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以上如涉及对行业的预测、公司发展战略规划等相关内容，不能视作公司或公司管理层对行业及公司发展的承诺和保证；敬请广大投资者注意投资风险。</w:t>
            </w:r>
          </w:p>
        </w:tc>
      </w:tr>
      <w:tr w14:paraId="47B75AA4">
        <w:tblPrEx>
          <w:tblCellMar>
            <w:top w:w="0" w:type="dxa"/>
            <w:left w:w="10" w:type="dxa"/>
            <w:bottom w:w="0" w:type="dxa"/>
            <w:right w:w="10" w:type="dxa"/>
          </w:tblCellMar>
        </w:tblPrEx>
        <w:trPr>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9E88665">
            <w:pPr>
              <w:spacing w:line="36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日期</w:t>
            </w:r>
          </w:p>
        </w:tc>
        <w:tc>
          <w:tcPr>
            <w:tcW w:w="71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878A74E">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2025年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30</w:t>
            </w:r>
            <w:bookmarkStart w:id="4" w:name="_GoBack"/>
            <w:bookmarkEnd w:id="4"/>
            <w:r>
              <w:rPr>
                <w:rFonts w:hint="eastAsia" w:cs="宋体" w:asciiTheme="minorEastAsia" w:hAnsiTheme="minorEastAsia" w:eastAsiaTheme="minorEastAsia"/>
                <w:sz w:val="24"/>
                <w:szCs w:val="24"/>
              </w:rPr>
              <w:t>日</w:t>
            </w:r>
          </w:p>
        </w:tc>
      </w:tr>
    </w:tbl>
    <w:p w14:paraId="55824310">
      <w:pPr>
        <w:rPr>
          <w:rFonts w:cs="宋体" w:asciiTheme="minorEastAsia" w:hAnsiTheme="minorEastAsia" w:eastAsiaTheme="minorEastAsia"/>
          <w:b/>
          <w:sz w:val="24"/>
          <w:szCs w:val="24"/>
        </w:rPr>
      </w:pPr>
    </w:p>
    <w:sectPr>
      <w:footerReference r:id="rId3" w:type="default"/>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7610"/>
    </w:sdtPr>
    <w:sdtContent>
      <w:sdt>
        <w:sdtPr>
          <w:id w:val="171357217"/>
          <w:showingPlcHdr/>
        </w:sdtPr>
        <w:sdtContent>
          <w:p w14:paraId="3BA26BE7">
            <w:pPr>
              <w:pStyle w:val="4"/>
              <w:ind w:firstLine="354"/>
              <w:jc w:val="center"/>
            </w:pPr>
            <w:r>
              <w:t xml:space="preserve">     </w:t>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E9B8A"/>
    <w:multiLevelType w:val="singleLevel"/>
    <w:tmpl w:val="9A0E9B8A"/>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TVmMWJhZjZlN2JjZTk3NGEyOWY1MzVmNzY1NWIwNTIifQ=="/>
  </w:docVars>
  <w:rsids>
    <w:rsidRoot w:val="00D171FD"/>
    <w:rsid w:val="00000482"/>
    <w:rsid w:val="000028A0"/>
    <w:rsid w:val="0000751C"/>
    <w:rsid w:val="000104BD"/>
    <w:rsid w:val="00010EBC"/>
    <w:rsid w:val="00011A92"/>
    <w:rsid w:val="00021A51"/>
    <w:rsid w:val="00021BE3"/>
    <w:rsid w:val="00021F2A"/>
    <w:rsid w:val="00024848"/>
    <w:rsid w:val="00034291"/>
    <w:rsid w:val="00034FCA"/>
    <w:rsid w:val="00040A27"/>
    <w:rsid w:val="0004199F"/>
    <w:rsid w:val="00045978"/>
    <w:rsid w:val="00057D7B"/>
    <w:rsid w:val="0006222D"/>
    <w:rsid w:val="00071560"/>
    <w:rsid w:val="00080B96"/>
    <w:rsid w:val="000961F3"/>
    <w:rsid w:val="000A5959"/>
    <w:rsid w:val="000B225E"/>
    <w:rsid w:val="000C56B6"/>
    <w:rsid w:val="000C7A85"/>
    <w:rsid w:val="000D3562"/>
    <w:rsid w:val="000F50D6"/>
    <w:rsid w:val="00102202"/>
    <w:rsid w:val="00110FCA"/>
    <w:rsid w:val="001118CE"/>
    <w:rsid w:val="00115A29"/>
    <w:rsid w:val="0013006E"/>
    <w:rsid w:val="00132EC5"/>
    <w:rsid w:val="00135133"/>
    <w:rsid w:val="00135784"/>
    <w:rsid w:val="00147291"/>
    <w:rsid w:val="00151C80"/>
    <w:rsid w:val="00153509"/>
    <w:rsid w:val="001616F2"/>
    <w:rsid w:val="00161F9F"/>
    <w:rsid w:val="001704A8"/>
    <w:rsid w:val="00187709"/>
    <w:rsid w:val="001933BB"/>
    <w:rsid w:val="00196504"/>
    <w:rsid w:val="001A0C99"/>
    <w:rsid w:val="001A56AE"/>
    <w:rsid w:val="001A6A93"/>
    <w:rsid w:val="001B19B2"/>
    <w:rsid w:val="001B1BAC"/>
    <w:rsid w:val="001B1D7A"/>
    <w:rsid w:val="001B2416"/>
    <w:rsid w:val="001B471B"/>
    <w:rsid w:val="001B5C91"/>
    <w:rsid w:val="001C1ED1"/>
    <w:rsid w:val="001D0890"/>
    <w:rsid w:val="001D61E8"/>
    <w:rsid w:val="001E5196"/>
    <w:rsid w:val="001E7C62"/>
    <w:rsid w:val="001F69F4"/>
    <w:rsid w:val="001F6A13"/>
    <w:rsid w:val="00200D3E"/>
    <w:rsid w:val="00203780"/>
    <w:rsid w:val="00205276"/>
    <w:rsid w:val="002209CC"/>
    <w:rsid w:val="00222B17"/>
    <w:rsid w:val="00230C9E"/>
    <w:rsid w:val="0024047B"/>
    <w:rsid w:val="00246B52"/>
    <w:rsid w:val="002511D1"/>
    <w:rsid w:val="00251A9F"/>
    <w:rsid w:val="002528DF"/>
    <w:rsid w:val="00253A51"/>
    <w:rsid w:val="002621A7"/>
    <w:rsid w:val="002625B6"/>
    <w:rsid w:val="00262C7A"/>
    <w:rsid w:val="00263DE3"/>
    <w:rsid w:val="00270997"/>
    <w:rsid w:val="00280DDA"/>
    <w:rsid w:val="00282CC8"/>
    <w:rsid w:val="00293226"/>
    <w:rsid w:val="002975C3"/>
    <w:rsid w:val="002A4FB9"/>
    <w:rsid w:val="002C1B3C"/>
    <w:rsid w:val="002D1274"/>
    <w:rsid w:val="002E4277"/>
    <w:rsid w:val="002E74BA"/>
    <w:rsid w:val="00304099"/>
    <w:rsid w:val="0031471F"/>
    <w:rsid w:val="00327B6F"/>
    <w:rsid w:val="003325B9"/>
    <w:rsid w:val="00333147"/>
    <w:rsid w:val="00334213"/>
    <w:rsid w:val="003402EC"/>
    <w:rsid w:val="003507D0"/>
    <w:rsid w:val="00350E19"/>
    <w:rsid w:val="00351C23"/>
    <w:rsid w:val="00351CF5"/>
    <w:rsid w:val="00354218"/>
    <w:rsid w:val="0035481F"/>
    <w:rsid w:val="00355D10"/>
    <w:rsid w:val="003620B2"/>
    <w:rsid w:val="0036461C"/>
    <w:rsid w:val="00366D3D"/>
    <w:rsid w:val="003700F7"/>
    <w:rsid w:val="00370F98"/>
    <w:rsid w:val="003774B3"/>
    <w:rsid w:val="00383ABE"/>
    <w:rsid w:val="00393B9B"/>
    <w:rsid w:val="00395938"/>
    <w:rsid w:val="003A3248"/>
    <w:rsid w:val="003A38FF"/>
    <w:rsid w:val="003B1ABD"/>
    <w:rsid w:val="003B25DE"/>
    <w:rsid w:val="003B2CC1"/>
    <w:rsid w:val="003B6807"/>
    <w:rsid w:val="003C2F64"/>
    <w:rsid w:val="003E0E12"/>
    <w:rsid w:val="003E372A"/>
    <w:rsid w:val="003E3D45"/>
    <w:rsid w:val="003E478D"/>
    <w:rsid w:val="003F6C3F"/>
    <w:rsid w:val="00410470"/>
    <w:rsid w:val="004119F0"/>
    <w:rsid w:val="004171AC"/>
    <w:rsid w:val="00417C81"/>
    <w:rsid w:val="00417D3E"/>
    <w:rsid w:val="00417FC7"/>
    <w:rsid w:val="004230FD"/>
    <w:rsid w:val="004269BC"/>
    <w:rsid w:val="00427320"/>
    <w:rsid w:val="004275DD"/>
    <w:rsid w:val="00434C4B"/>
    <w:rsid w:val="00436F8F"/>
    <w:rsid w:val="00440372"/>
    <w:rsid w:val="00445767"/>
    <w:rsid w:val="0046326D"/>
    <w:rsid w:val="00472716"/>
    <w:rsid w:val="0049535D"/>
    <w:rsid w:val="004B6F64"/>
    <w:rsid w:val="004C3916"/>
    <w:rsid w:val="004C5432"/>
    <w:rsid w:val="004C6124"/>
    <w:rsid w:val="004C618B"/>
    <w:rsid w:val="004D3097"/>
    <w:rsid w:val="004E4D24"/>
    <w:rsid w:val="004F5BD3"/>
    <w:rsid w:val="00500F2B"/>
    <w:rsid w:val="00501A98"/>
    <w:rsid w:val="005069EF"/>
    <w:rsid w:val="005078B0"/>
    <w:rsid w:val="00507B19"/>
    <w:rsid w:val="005105C9"/>
    <w:rsid w:val="00512CE3"/>
    <w:rsid w:val="005139C3"/>
    <w:rsid w:val="005157E2"/>
    <w:rsid w:val="00534040"/>
    <w:rsid w:val="00543DA6"/>
    <w:rsid w:val="00546CA5"/>
    <w:rsid w:val="005568BA"/>
    <w:rsid w:val="005639AF"/>
    <w:rsid w:val="00565B8E"/>
    <w:rsid w:val="00571999"/>
    <w:rsid w:val="005732AB"/>
    <w:rsid w:val="005737BA"/>
    <w:rsid w:val="00585048"/>
    <w:rsid w:val="005931E0"/>
    <w:rsid w:val="005A378E"/>
    <w:rsid w:val="005A670F"/>
    <w:rsid w:val="005C0391"/>
    <w:rsid w:val="005C220B"/>
    <w:rsid w:val="005C79E4"/>
    <w:rsid w:val="005D6E21"/>
    <w:rsid w:val="005E28C9"/>
    <w:rsid w:val="005E5B52"/>
    <w:rsid w:val="005E7992"/>
    <w:rsid w:val="005F4600"/>
    <w:rsid w:val="005F5070"/>
    <w:rsid w:val="005F7DA4"/>
    <w:rsid w:val="00601CA2"/>
    <w:rsid w:val="006062AF"/>
    <w:rsid w:val="00610019"/>
    <w:rsid w:val="0061727A"/>
    <w:rsid w:val="0063453F"/>
    <w:rsid w:val="00646A91"/>
    <w:rsid w:val="00647A73"/>
    <w:rsid w:val="0065201F"/>
    <w:rsid w:val="00657161"/>
    <w:rsid w:val="00662AC9"/>
    <w:rsid w:val="0067471D"/>
    <w:rsid w:val="00676260"/>
    <w:rsid w:val="0068344E"/>
    <w:rsid w:val="00683753"/>
    <w:rsid w:val="0068706F"/>
    <w:rsid w:val="00690357"/>
    <w:rsid w:val="006919E7"/>
    <w:rsid w:val="00693052"/>
    <w:rsid w:val="006944F5"/>
    <w:rsid w:val="006A16C6"/>
    <w:rsid w:val="006A6EAE"/>
    <w:rsid w:val="006E120B"/>
    <w:rsid w:val="006F0087"/>
    <w:rsid w:val="006F0DB0"/>
    <w:rsid w:val="00701013"/>
    <w:rsid w:val="00702F51"/>
    <w:rsid w:val="00707D35"/>
    <w:rsid w:val="0071039F"/>
    <w:rsid w:val="0071464D"/>
    <w:rsid w:val="00721D97"/>
    <w:rsid w:val="00727047"/>
    <w:rsid w:val="00731798"/>
    <w:rsid w:val="007366DB"/>
    <w:rsid w:val="00740CFD"/>
    <w:rsid w:val="007520F4"/>
    <w:rsid w:val="00761780"/>
    <w:rsid w:val="00763FDF"/>
    <w:rsid w:val="0076432E"/>
    <w:rsid w:val="00776429"/>
    <w:rsid w:val="0078167A"/>
    <w:rsid w:val="007878B6"/>
    <w:rsid w:val="00794C8C"/>
    <w:rsid w:val="00797E38"/>
    <w:rsid w:val="007A1FCE"/>
    <w:rsid w:val="007B00BF"/>
    <w:rsid w:val="007B5FD4"/>
    <w:rsid w:val="007B6782"/>
    <w:rsid w:val="007B7E66"/>
    <w:rsid w:val="007C6DF0"/>
    <w:rsid w:val="007D33AB"/>
    <w:rsid w:val="007D3680"/>
    <w:rsid w:val="007E0BE8"/>
    <w:rsid w:val="007E5E59"/>
    <w:rsid w:val="00801C0C"/>
    <w:rsid w:val="00802203"/>
    <w:rsid w:val="00806D14"/>
    <w:rsid w:val="0080777E"/>
    <w:rsid w:val="00807F85"/>
    <w:rsid w:val="008216A5"/>
    <w:rsid w:val="00826ADE"/>
    <w:rsid w:val="008308BB"/>
    <w:rsid w:val="00831DC3"/>
    <w:rsid w:val="00834381"/>
    <w:rsid w:val="00841138"/>
    <w:rsid w:val="00846951"/>
    <w:rsid w:val="00861488"/>
    <w:rsid w:val="008624C8"/>
    <w:rsid w:val="00873F90"/>
    <w:rsid w:val="00874B0D"/>
    <w:rsid w:val="0087713C"/>
    <w:rsid w:val="0089259B"/>
    <w:rsid w:val="00895D7E"/>
    <w:rsid w:val="008A6DF0"/>
    <w:rsid w:val="008C0C5C"/>
    <w:rsid w:val="008C0F84"/>
    <w:rsid w:val="008C13F3"/>
    <w:rsid w:val="008D24C2"/>
    <w:rsid w:val="008E5413"/>
    <w:rsid w:val="008E615D"/>
    <w:rsid w:val="008F14E0"/>
    <w:rsid w:val="009033B2"/>
    <w:rsid w:val="009056E0"/>
    <w:rsid w:val="00906ECA"/>
    <w:rsid w:val="0091071B"/>
    <w:rsid w:val="00910FAD"/>
    <w:rsid w:val="00911022"/>
    <w:rsid w:val="00911825"/>
    <w:rsid w:val="00921893"/>
    <w:rsid w:val="00927C61"/>
    <w:rsid w:val="009313B4"/>
    <w:rsid w:val="00947A3E"/>
    <w:rsid w:val="00950266"/>
    <w:rsid w:val="0095671B"/>
    <w:rsid w:val="0096309E"/>
    <w:rsid w:val="00964CAE"/>
    <w:rsid w:val="009666B0"/>
    <w:rsid w:val="00972071"/>
    <w:rsid w:val="0098060A"/>
    <w:rsid w:val="00981159"/>
    <w:rsid w:val="00995E0F"/>
    <w:rsid w:val="009B57CD"/>
    <w:rsid w:val="009D342F"/>
    <w:rsid w:val="009D5B90"/>
    <w:rsid w:val="009E7448"/>
    <w:rsid w:val="009F2412"/>
    <w:rsid w:val="009F2517"/>
    <w:rsid w:val="009F5C3D"/>
    <w:rsid w:val="00A014DB"/>
    <w:rsid w:val="00A05724"/>
    <w:rsid w:val="00A17435"/>
    <w:rsid w:val="00A30F76"/>
    <w:rsid w:val="00A345FB"/>
    <w:rsid w:val="00A35C68"/>
    <w:rsid w:val="00A36FB2"/>
    <w:rsid w:val="00A44DB6"/>
    <w:rsid w:val="00A46E92"/>
    <w:rsid w:val="00A5222C"/>
    <w:rsid w:val="00A545A6"/>
    <w:rsid w:val="00A56BCF"/>
    <w:rsid w:val="00A57DD2"/>
    <w:rsid w:val="00A6077D"/>
    <w:rsid w:val="00A620F8"/>
    <w:rsid w:val="00A65F80"/>
    <w:rsid w:val="00A66809"/>
    <w:rsid w:val="00A753BC"/>
    <w:rsid w:val="00A76C95"/>
    <w:rsid w:val="00A7701E"/>
    <w:rsid w:val="00A94DB3"/>
    <w:rsid w:val="00AA063A"/>
    <w:rsid w:val="00AA16C0"/>
    <w:rsid w:val="00AA4F32"/>
    <w:rsid w:val="00AA7A7B"/>
    <w:rsid w:val="00AB3B33"/>
    <w:rsid w:val="00AC0CAD"/>
    <w:rsid w:val="00AC1D9E"/>
    <w:rsid w:val="00AC3F79"/>
    <w:rsid w:val="00AE47AF"/>
    <w:rsid w:val="00AE5094"/>
    <w:rsid w:val="00AF5436"/>
    <w:rsid w:val="00B03FBB"/>
    <w:rsid w:val="00B0500C"/>
    <w:rsid w:val="00B0656E"/>
    <w:rsid w:val="00B065B1"/>
    <w:rsid w:val="00B1386E"/>
    <w:rsid w:val="00B2417C"/>
    <w:rsid w:val="00B24297"/>
    <w:rsid w:val="00B3174A"/>
    <w:rsid w:val="00B34B6C"/>
    <w:rsid w:val="00B36EFA"/>
    <w:rsid w:val="00B42072"/>
    <w:rsid w:val="00B4431C"/>
    <w:rsid w:val="00B44BFD"/>
    <w:rsid w:val="00B46566"/>
    <w:rsid w:val="00B5295D"/>
    <w:rsid w:val="00B56ACC"/>
    <w:rsid w:val="00B56F2A"/>
    <w:rsid w:val="00B608C9"/>
    <w:rsid w:val="00B60F49"/>
    <w:rsid w:val="00B61935"/>
    <w:rsid w:val="00B619E0"/>
    <w:rsid w:val="00B72704"/>
    <w:rsid w:val="00B74622"/>
    <w:rsid w:val="00B94846"/>
    <w:rsid w:val="00B95E2C"/>
    <w:rsid w:val="00B96CCE"/>
    <w:rsid w:val="00BA38D5"/>
    <w:rsid w:val="00BA54C7"/>
    <w:rsid w:val="00BB024F"/>
    <w:rsid w:val="00BB189C"/>
    <w:rsid w:val="00BB30B9"/>
    <w:rsid w:val="00BB6C79"/>
    <w:rsid w:val="00BC7E93"/>
    <w:rsid w:val="00BD0EA6"/>
    <w:rsid w:val="00BD790C"/>
    <w:rsid w:val="00BE4810"/>
    <w:rsid w:val="00BE5F12"/>
    <w:rsid w:val="00BF4B9E"/>
    <w:rsid w:val="00C029C3"/>
    <w:rsid w:val="00C051E8"/>
    <w:rsid w:val="00C07418"/>
    <w:rsid w:val="00C154A5"/>
    <w:rsid w:val="00C17792"/>
    <w:rsid w:val="00C17D69"/>
    <w:rsid w:val="00C20537"/>
    <w:rsid w:val="00C22A7E"/>
    <w:rsid w:val="00C31BDF"/>
    <w:rsid w:val="00C37C29"/>
    <w:rsid w:val="00C51535"/>
    <w:rsid w:val="00C71A35"/>
    <w:rsid w:val="00C823E3"/>
    <w:rsid w:val="00C82E8E"/>
    <w:rsid w:val="00C93538"/>
    <w:rsid w:val="00C93EA5"/>
    <w:rsid w:val="00C962E1"/>
    <w:rsid w:val="00C973E5"/>
    <w:rsid w:val="00C97795"/>
    <w:rsid w:val="00CA0A1A"/>
    <w:rsid w:val="00CA0CDD"/>
    <w:rsid w:val="00CA314C"/>
    <w:rsid w:val="00CA707D"/>
    <w:rsid w:val="00CB5FE1"/>
    <w:rsid w:val="00CB6742"/>
    <w:rsid w:val="00CD353A"/>
    <w:rsid w:val="00CD55DF"/>
    <w:rsid w:val="00CD5784"/>
    <w:rsid w:val="00CD63D7"/>
    <w:rsid w:val="00CE3343"/>
    <w:rsid w:val="00CF1EA6"/>
    <w:rsid w:val="00CF4EBE"/>
    <w:rsid w:val="00D0632A"/>
    <w:rsid w:val="00D07DC7"/>
    <w:rsid w:val="00D14C52"/>
    <w:rsid w:val="00D16E2F"/>
    <w:rsid w:val="00D171FD"/>
    <w:rsid w:val="00D17A1D"/>
    <w:rsid w:val="00D25991"/>
    <w:rsid w:val="00D25BEB"/>
    <w:rsid w:val="00D33B96"/>
    <w:rsid w:val="00D40E0F"/>
    <w:rsid w:val="00D40E18"/>
    <w:rsid w:val="00D439C3"/>
    <w:rsid w:val="00D44DB6"/>
    <w:rsid w:val="00D51829"/>
    <w:rsid w:val="00D52268"/>
    <w:rsid w:val="00D610C2"/>
    <w:rsid w:val="00D625D9"/>
    <w:rsid w:val="00D6488F"/>
    <w:rsid w:val="00D66E99"/>
    <w:rsid w:val="00D7258C"/>
    <w:rsid w:val="00D82005"/>
    <w:rsid w:val="00D867A9"/>
    <w:rsid w:val="00D90617"/>
    <w:rsid w:val="00D9571A"/>
    <w:rsid w:val="00DA29D4"/>
    <w:rsid w:val="00DB090F"/>
    <w:rsid w:val="00DC2D0B"/>
    <w:rsid w:val="00DD369D"/>
    <w:rsid w:val="00DD6DB4"/>
    <w:rsid w:val="00DF3900"/>
    <w:rsid w:val="00E02202"/>
    <w:rsid w:val="00E03362"/>
    <w:rsid w:val="00E1675D"/>
    <w:rsid w:val="00E36E64"/>
    <w:rsid w:val="00E45445"/>
    <w:rsid w:val="00E4590A"/>
    <w:rsid w:val="00E46B4C"/>
    <w:rsid w:val="00E47A88"/>
    <w:rsid w:val="00E50452"/>
    <w:rsid w:val="00E52929"/>
    <w:rsid w:val="00E559D5"/>
    <w:rsid w:val="00E567BB"/>
    <w:rsid w:val="00E6350B"/>
    <w:rsid w:val="00E63F85"/>
    <w:rsid w:val="00E84F58"/>
    <w:rsid w:val="00E92EF8"/>
    <w:rsid w:val="00E939F7"/>
    <w:rsid w:val="00E9777E"/>
    <w:rsid w:val="00EA075B"/>
    <w:rsid w:val="00EA459D"/>
    <w:rsid w:val="00EB776F"/>
    <w:rsid w:val="00EC04C1"/>
    <w:rsid w:val="00EC49DF"/>
    <w:rsid w:val="00ED098A"/>
    <w:rsid w:val="00ED13FE"/>
    <w:rsid w:val="00ED583B"/>
    <w:rsid w:val="00ED70FF"/>
    <w:rsid w:val="00ED7469"/>
    <w:rsid w:val="00EF00F6"/>
    <w:rsid w:val="00EF0758"/>
    <w:rsid w:val="00EF72C7"/>
    <w:rsid w:val="00F00746"/>
    <w:rsid w:val="00F008B4"/>
    <w:rsid w:val="00F0535D"/>
    <w:rsid w:val="00F05E2A"/>
    <w:rsid w:val="00F11A3E"/>
    <w:rsid w:val="00F14988"/>
    <w:rsid w:val="00F22F4A"/>
    <w:rsid w:val="00F27FE8"/>
    <w:rsid w:val="00F34C41"/>
    <w:rsid w:val="00F447F6"/>
    <w:rsid w:val="00F454FA"/>
    <w:rsid w:val="00F47584"/>
    <w:rsid w:val="00F623FF"/>
    <w:rsid w:val="00F72230"/>
    <w:rsid w:val="00F727D3"/>
    <w:rsid w:val="00F74E48"/>
    <w:rsid w:val="00F759E5"/>
    <w:rsid w:val="00F77838"/>
    <w:rsid w:val="00F77BA4"/>
    <w:rsid w:val="00F83950"/>
    <w:rsid w:val="00F86B2F"/>
    <w:rsid w:val="00F9334D"/>
    <w:rsid w:val="00F94F12"/>
    <w:rsid w:val="00F94F1B"/>
    <w:rsid w:val="00F9573A"/>
    <w:rsid w:val="00FB68DA"/>
    <w:rsid w:val="00FD0FBF"/>
    <w:rsid w:val="00FD6DE2"/>
    <w:rsid w:val="00FE70AE"/>
    <w:rsid w:val="00FF20C3"/>
    <w:rsid w:val="00FF4D61"/>
    <w:rsid w:val="01442E48"/>
    <w:rsid w:val="032D773E"/>
    <w:rsid w:val="08D20FCE"/>
    <w:rsid w:val="0A71688E"/>
    <w:rsid w:val="15F448B4"/>
    <w:rsid w:val="16610B7D"/>
    <w:rsid w:val="16895CFA"/>
    <w:rsid w:val="1B6B3B7D"/>
    <w:rsid w:val="1C3B25BA"/>
    <w:rsid w:val="20CF7A83"/>
    <w:rsid w:val="23E21E1F"/>
    <w:rsid w:val="24A15381"/>
    <w:rsid w:val="297F0EEF"/>
    <w:rsid w:val="323E7DF9"/>
    <w:rsid w:val="32E75EA6"/>
    <w:rsid w:val="334C7D7C"/>
    <w:rsid w:val="345D626E"/>
    <w:rsid w:val="350E29C1"/>
    <w:rsid w:val="380A7921"/>
    <w:rsid w:val="395F3AB7"/>
    <w:rsid w:val="3B692F67"/>
    <w:rsid w:val="438C21E0"/>
    <w:rsid w:val="44962420"/>
    <w:rsid w:val="498303A7"/>
    <w:rsid w:val="4DD94A09"/>
    <w:rsid w:val="4E52768D"/>
    <w:rsid w:val="4E5D2189"/>
    <w:rsid w:val="4FF705C0"/>
    <w:rsid w:val="562E2218"/>
    <w:rsid w:val="5C6F640C"/>
    <w:rsid w:val="659B0A53"/>
    <w:rsid w:val="6B985F2F"/>
    <w:rsid w:val="6C896D9A"/>
    <w:rsid w:val="6D8747CE"/>
    <w:rsid w:val="6F2F210F"/>
    <w:rsid w:val="728F36EF"/>
    <w:rsid w:val="757E2C96"/>
    <w:rsid w:val="78CF0C7A"/>
    <w:rsid w:val="7ED23D1E"/>
    <w:rsid w:val="7F0D33DB"/>
    <w:rsid w:val="7F182BC0"/>
    <w:rsid w:val="7F1A35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uiPriority w:val="99"/>
  </w:style>
  <w:style w:type="paragraph" w:styleId="3">
    <w:name w:val="Balloon Text"/>
    <w:basedOn w:val="1"/>
    <w:link w:val="16"/>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semiHidden/>
    <w:unhideWhenUsed/>
    <w:qFormat/>
    <w:uiPriority w:val="99"/>
    <w:rPr>
      <w:b/>
      <w:bCs/>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FollowedHyperlink"/>
    <w:basedOn w:val="9"/>
    <w:autoRedefine/>
    <w:semiHidden/>
    <w:unhideWhenUsed/>
    <w:qFormat/>
    <w:uiPriority w:val="99"/>
    <w:rPr>
      <w:color w:val="800080" w:themeColor="followedHyperlink"/>
      <w:u w:val="single"/>
    </w:rPr>
  </w:style>
  <w:style w:type="character" w:styleId="11">
    <w:name w:val="Hyperlink"/>
    <w:basedOn w:val="9"/>
    <w:autoRedefine/>
    <w:unhideWhenUsed/>
    <w:qFormat/>
    <w:uiPriority w:val="99"/>
    <w:rPr>
      <w:color w:val="0000FF" w:themeColor="hyperlink"/>
      <w:u w:val="single"/>
    </w:rPr>
  </w:style>
  <w:style w:type="character" w:styleId="12">
    <w:name w:val="annotation reference"/>
    <w:basedOn w:val="9"/>
    <w:semiHidden/>
    <w:unhideWhenUsed/>
    <w:qFormat/>
    <w:uiPriority w:val="99"/>
    <w:rPr>
      <w:sz w:val="21"/>
      <w:szCs w:val="21"/>
    </w:rPr>
  </w:style>
  <w:style w:type="paragraph" w:styleId="13">
    <w:name w:val="List Paragraph"/>
    <w:basedOn w:val="1"/>
    <w:autoRedefine/>
    <w:qFormat/>
    <w:uiPriority w:val="34"/>
    <w:pPr>
      <w:ind w:firstLine="420" w:firstLineChars="200"/>
    </w:pPr>
  </w:style>
  <w:style w:type="character" w:customStyle="1" w:styleId="14">
    <w:name w:val="页眉 字符"/>
    <w:basedOn w:val="9"/>
    <w:link w:val="5"/>
    <w:autoRedefine/>
    <w:qFormat/>
    <w:uiPriority w:val="99"/>
    <w:rPr>
      <w:rFonts w:ascii="Times New Roman" w:hAnsi="Times New Roman" w:eastAsia="宋体" w:cs="Times New Roman"/>
      <w:kern w:val="0"/>
      <w:sz w:val="18"/>
      <w:szCs w:val="18"/>
    </w:rPr>
  </w:style>
  <w:style w:type="character" w:customStyle="1" w:styleId="15">
    <w:name w:val="页脚 字符"/>
    <w:basedOn w:val="9"/>
    <w:link w:val="4"/>
    <w:autoRedefine/>
    <w:qFormat/>
    <w:uiPriority w:val="99"/>
    <w:rPr>
      <w:rFonts w:ascii="Times New Roman" w:hAnsi="Times New Roman" w:eastAsia="宋体" w:cs="Times New Roman"/>
      <w:kern w:val="0"/>
      <w:sz w:val="18"/>
      <w:szCs w:val="18"/>
    </w:rPr>
  </w:style>
  <w:style w:type="character" w:customStyle="1" w:styleId="16">
    <w:name w:val="批注框文本 字符"/>
    <w:basedOn w:val="9"/>
    <w:link w:val="3"/>
    <w:autoRedefine/>
    <w:semiHidden/>
    <w:qFormat/>
    <w:uiPriority w:val="99"/>
    <w:rPr>
      <w:rFonts w:ascii="Times New Roman" w:hAnsi="Times New Roman" w:eastAsia="宋体" w:cs="Times New Roman"/>
      <w:kern w:val="0"/>
      <w:sz w:val="18"/>
      <w:szCs w:val="18"/>
    </w:rPr>
  </w:style>
  <w:style w:type="character" w:customStyle="1" w:styleId="17">
    <w:name w:val="font21"/>
    <w:basedOn w:val="9"/>
    <w:qFormat/>
    <w:uiPriority w:val="0"/>
    <w:rPr>
      <w:rFonts w:hint="eastAsia" w:ascii="宋体" w:hAnsi="宋体" w:eastAsia="宋体" w:cs="宋体"/>
      <w:color w:val="000000"/>
      <w:sz w:val="20"/>
      <w:szCs w:val="20"/>
      <w:u w:val="none"/>
    </w:rPr>
  </w:style>
  <w:style w:type="character" w:customStyle="1" w:styleId="18">
    <w:name w:val="font11"/>
    <w:basedOn w:val="9"/>
    <w:qFormat/>
    <w:uiPriority w:val="0"/>
    <w:rPr>
      <w:rFonts w:hint="default" w:ascii="Times New Roman" w:hAnsi="Times New Roman" w:cs="Times New Roman"/>
      <w:color w:val="000000"/>
      <w:sz w:val="20"/>
      <w:szCs w:val="20"/>
      <w:u w:val="none"/>
    </w:rPr>
  </w:style>
  <w:style w:type="character" w:customStyle="1" w:styleId="19">
    <w:name w:val="批注文字 字符"/>
    <w:basedOn w:val="9"/>
    <w:link w:val="2"/>
    <w:semiHidden/>
    <w:qFormat/>
    <w:uiPriority w:val="99"/>
  </w:style>
  <w:style w:type="character" w:customStyle="1" w:styleId="20">
    <w:name w:val="批注主题 字符"/>
    <w:basedOn w:val="19"/>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DB03-6E4F-4003-BBE0-1FB075ECC4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1727</Words>
  <Characters>1954</Characters>
  <Lines>12</Lines>
  <Paragraphs>3</Paragraphs>
  <TotalTime>4351</TotalTime>
  <ScaleCrop>false</ScaleCrop>
  <LinksUpToDate>false</LinksUpToDate>
  <CharactersWithSpaces>2037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2025-03-26T07:36:00Z</dcterms:created>
  <dc:creator>吴优</dc:creator>
  <cp:lastModifiedBy>CHEN</cp:lastModifiedBy>
  <cp:lastPrinted>2025-07-01T08:00:00Z</cp:lastPrinted>
  <dcterms:modified xsi:type="dcterms:W3CDTF">2025-07-01T08:37:29Z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774A325788CB413999F96CD41344A294_13</vt:lpwstr>
  </property>
  <property fmtid="{D5CDD505-2E9C-101B-9397-08002B2CF9AE}" pid="4" name="KSOTemplateDocerSaveRecord">
    <vt:lpwstr>eyJoZGlkIjoiNTVmMWJhZjZlN2JjZTk3NGEyOWY1MzVmNzY1NWIwNTIiLCJ1c2VySWQiOiI0MTM1MTkwNzUifQ==</vt:lpwstr>
  </property>
</Properties>
</file>