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D4" w:rsidRDefault="00DB2152">
      <w:pPr>
        <w:spacing w:beforeLines="10" w:before="31" w:line="360" w:lineRule="auto"/>
        <w:rPr>
          <w:rFonts w:ascii="楷体" w:eastAsia="楷体" w:hAnsi="楷体"/>
          <w:b/>
          <w:w w:val="95"/>
          <w:sz w:val="24"/>
        </w:rPr>
      </w:pPr>
      <w:r>
        <w:rPr>
          <w:rFonts w:ascii="楷体" w:eastAsia="楷体" w:hAnsi="楷体" w:cs="宋体" w:hint="eastAsia"/>
          <w:b/>
          <w:w w:val="95"/>
          <w:sz w:val="24"/>
        </w:rPr>
        <w:t xml:space="preserve">证券简称：华盛锂电 </w:t>
      </w:r>
      <w:r>
        <w:rPr>
          <w:rFonts w:ascii="楷体" w:eastAsia="楷体" w:hAnsi="楷体" w:cs="宋体"/>
          <w:b/>
          <w:w w:val="95"/>
          <w:sz w:val="24"/>
        </w:rPr>
        <w:t xml:space="preserve">                                         </w:t>
      </w:r>
      <w:r>
        <w:rPr>
          <w:rFonts w:ascii="楷体" w:eastAsia="楷体" w:hAnsi="楷体" w:cs="宋体" w:hint="eastAsia"/>
          <w:b/>
          <w:w w:val="95"/>
          <w:sz w:val="24"/>
        </w:rPr>
        <w:t>证券代码</w:t>
      </w:r>
      <w:r>
        <w:rPr>
          <w:rFonts w:ascii="楷体" w:eastAsia="楷体" w:hAnsi="楷体"/>
          <w:b/>
          <w:w w:val="95"/>
          <w:sz w:val="24"/>
        </w:rPr>
        <w:t>：</w:t>
      </w:r>
      <w:r>
        <w:rPr>
          <w:rFonts w:ascii="Times New Roman" w:eastAsia="楷体" w:hAnsi="Times New Roman"/>
          <w:b/>
          <w:w w:val="95"/>
          <w:sz w:val="24"/>
        </w:rPr>
        <w:t>688353</w:t>
      </w:r>
    </w:p>
    <w:p w:rsidR="00C947D4" w:rsidRDefault="00C947D4">
      <w:pPr>
        <w:spacing w:beforeLines="10" w:before="31" w:line="360" w:lineRule="auto"/>
        <w:jc w:val="center"/>
        <w:rPr>
          <w:rFonts w:ascii="宋体" w:hAnsi="宋体" w:cs="宋体"/>
          <w:b/>
          <w:w w:val="95"/>
          <w:sz w:val="32"/>
          <w:szCs w:val="32"/>
        </w:rPr>
      </w:pPr>
    </w:p>
    <w:p w:rsidR="00C947D4" w:rsidRDefault="00DB2152">
      <w:pPr>
        <w:spacing w:beforeLines="10" w:before="31" w:line="360" w:lineRule="auto"/>
        <w:jc w:val="center"/>
        <w:rPr>
          <w:rFonts w:ascii="楷体" w:eastAsia="楷体" w:hAnsi="楷体" w:cs="宋体"/>
          <w:b/>
          <w:w w:val="95"/>
          <w:sz w:val="36"/>
          <w:szCs w:val="36"/>
        </w:rPr>
      </w:pPr>
      <w:r>
        <w:rPr>
          <w:rFonts w:ascii="楷体" w:eastAsia="楷体" w:hAnsi="楷体" w:cs="宋体" w:hint="eastAsia"/>
          <w:b/>
          <w:w w:val="95"/>
          <w:sz w:val="36"/>
          <w:szCs w:val="36"/>
        </w:rPr>
        <w:t>江苏华盛锂电材料股份有限公司</w:t>
      </w:r>
    </w:p>
    <w:p w:rsidR="00C947D4" w:rsidRDefault="00DB2152">
      <w:pPr>
        <w:spacing w:line="360" w:lineRule="auto"/>
        <w:jc w:val="center"/>
        <w:rPr>
          <w:rFonts w:ascii="楷体" w:eastAsia="楷体" w:hAnsi="楷体" w:cs="宋体"/>
          <w:b/>
          <w:w w:val="95"/>
          <w:kern w:val="0"/>
          <w:sz w:val="36"/>
          <w:szCs w:val="36"/>
        </w:rPr>
      </w:pPr>
      <w:r>
        <w:rPr>
          <w:rFonts w:ascii="楷体" w:eastAsia="楷体" w:hAnsi="楷体" w:cs="宋体" w:hint="eastAsia"/>
          <w:b/>
          <w:w w:val="95"/>
          <w:kern w:val="0"/>
          <w:sz w:val="36"/>
          <w:szCs w:val="36"/>
        </w:rPr>
        <w:t>投资者关系活动记录表</w:t>
      </w:r>
    </w:p>
    <w:p w:rsidR="00C947D4" w:rsidRDefault="00DB2152">
      <w:pPr>
        <w:tabs>
          <w:tab w:val="left" w:pos="6106"/>
        </w:tabs>
        <w:spacing w:beforeLines="50" w:before="156" w:afterLines="50" w:after="156"/>
        <w:ind w:firstLineChars="100" w:firstLine="240"/>
        <w:jc w:val="right"/>
        <w:rPr>
          <w:rFonts w:ascii="宋体" w:hAnsi="宋体" w:cs="宋体"/>
          <w:sz w:val="24"/>
        </w:rPr>
      </w:pPr>
      <w:r>
        <w:rPr>
          <w:rFonts w:ascii="楷体" w:eastAsia="楷体" w:hAnsi="楷体" w:cs="宋体" w:hint="eastAsia"/>
          <w:sz w:val="24"/>
        </w:rPr>
        <w:t>编号</w:t>
      </w:r>
      <w:r>
        <w:rPr>
          <w:rFonts w:ascii="宋体" w:hAnsi="宋体" w:cs="宋体" w:hint="eastAsia"/>
          <w:sz w:val="24"/>
        </w:rPr>
        <w:t>：</w:t>
      </w:r>
      <w:r>
        <w:rPr>
          <w:rFonts w:ascii="Times New Roman" w:hAnsi="Times New Roman"/>
          <w:sz w:val="24"/>
        </w:rPr>
        <w:t>202</w:t>
      </w:r>
      <w:r w:rsidR="00BC37C2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>-00</w:t>
      </w:r>
      <w:r w:rsidR="00CD0BE4">
        <w:rPr>
          <w:rFonts w:ascii="Times New Roman" w:hAnsi="Times New Roman" w:hint="eastAsia"/>
          <w:sz w:val="24"/>
        </w:rPr>
        <w:t>5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6855"/>
      </w:tblGrid>
      <w:tr w:rsidR="00C947D4">
        <w:trPr>
          <w:jc w:val="center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投资者关系活动类别</w:t>
            </w:r>
          </w:p>
        </w:tc>
        <w:tc>
          <w:tcPr>
            <w:tcW w:w="6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Default="00DB2152">
            <w:pPr>
              <w:widowControl/>
              <w:tabs>
                <w:tab w:val="left" w:pos="3480"/>
              </w:tabs>
              <w:spacing w:line="360" w:lineRule="auto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</w:rPr>
              <w:t>√特定对象调研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□分析师会议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□媒体采访</w:t>
            </w:r>
          </w:p>
          <w:p w:rsidR="00C947D4" w:rsidRDefault="003A4773">
            <w:pPr>
              <w:widowControl/>
              <w:tabs>
                <w:tab w:val="left" w:pos="2040"/>
                <w:tab w:val="left" w:pos="3480"/>
              </w:tabs>
              <w:spacing w:line="360" w:lineRule="auto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</w:rPr>
              <w:t>□</w:t>
            </w:r>
            <w:r w:rsidR="00DB2152">
              <w:rPr>
                <w:rFonts w:ascii="Times New Roman" w:eastAsia="楷体" w:hAnsi="Times New Roman" w:hint="eastAsia"/>
                <w:bCs/>
                <w:sz w:val="24"/>
              </w:rPr>
              <w:t>业绩说明会</w:t>
            </w:r>
            <w:r w:rsidR="00DB2152"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 w:rsidR="00DB2152">
              <w:rPr>
                <w:rFonts w:ascii="Times New Roman" w:eastAsia="楷体" w:hAnsi="Times New Roman" w:hint="eastAsia"/>
                <w:bCs/>
                <w:sz w:val="24"/>
              </w:rPr>
              <w:t>□新闻发布会</w:t>
            </w:r>
            <w:r w:rsidR="00DB2152">
              <w:rPr>
                <w:rFonts w:ascii="Times New Roman" w:eastAsia="楷体" w:hAnsi="Times New Roman" w:hint="eastAsia"/>
                <w:bCs/>
                <w:sz w:val="24"/>
              </w:rPr>
              <w:t xml:space="preserve"> </w:t>
            </w:r>
            <w:r w:rsidR="00DB2152"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 w:rsidR="00DB2152">
              <w:rPr>
                <w:rFonts w:ascii="Times New Roman" w:eastAsia="楷体" w:hAnsi="Times New Roman" w:hint="eastAsia"/>
                <w:bCs/>
                <w:sz w:val="24"/>
              </w:rPr>
              <w:t>□路演活动</w:t>
            </w:r>
          </w:p>
          <w:p w:rsidR="00C947D4" w:rsidRDefault="00DB2152">
            <w:pPr>
              <w:spacing w:line="360" w:lineRule="auto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</w:rPr>
              <w:t>□现场参观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 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□一对一沟通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□其他（电话会议）</w:t>
            </w:r>
          </w:p>
        </w:tc>
      </w:tr>
      <w:tr w:rsidR="00C947D4">
        <w:trPr>
          <w:trHeight w:val="75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 w:rsidP="00E01EEA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参与单位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D46" w:rsidRDefault="00CD0BE4" w:rsidP="00E04B86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东方财富</w:t>
            </w:r>
            <w:r w:rsidR="00714B40">
              <w:rPr>
                <w:rFonts w:ascii="Times New Roman" w:eastAsia="楷体" w:hAnsi="Times New Roman" w:hint="eastAsia"/>
                <w:sz w:val="24"/>
              </w:rPr>
              <w:t>证券</w:t>
            </w:r>
            <w:r>
              <w:rPr>
                <w:rFonts w:ascii="Times New Roman" w:eastAsia="楷体" w:hAnsi="Times New Roman" w:hint="eastAsia"/>
                <w:sz w:val="24"/>
              </w:rPr>
              <w:t>、中哲物产、启赋资本、同巨投资</w:t>
            </w:r>
          </w:p>
        </w:tc>
      </w:tr>
      <w:tr w:rsidR="00C947D4">
        <w:trPr>
          <w:trHeight w:val="706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时间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Default="00DB2152" w:rsidP="00CD0BE4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202</w:t>
            </w:r>
            <w:r w:rsidR="00BC37C2">
              <w:rPr>
                <w:rFonts w:ascii="Times New Roman" w:eastAsia="楷体" w:hAnsi="Times New Roman" w:hint="eastAsia"/>
                <w:sz w:val="24"/>
              </w:rPr>
              <w:t>5</w:t>
            </w:r>
            <w:r>
              <w:rPr>
                <w:rFonts w:ascii="Times New Roman" w:eastAsia="楷体" w:hAnsi="Times New Roman"/>
                <w:sz w:val="24"/>
              </w:rPr>
              <w:t>年</w:t>
            </w:r>
            <w:r w:rsidR="00CD0BE4">
              <w:rPr>
                <w:rFonts w:ascii="Times New Roman" w:eastAsia="楷体" w:hAnsi="Times New Roman" w:hint="eastAsia"/>
                <w:sz w:val="24"/>
              </w:rPr>
              <w:t>7</w:t>
            </w:r>
            <w:r>
              <w:rPr>
                <w:rFonts w:ascii="Times New Roman" w:eastAsia="楷体" w:hAnsi="Times New Roman"/>
                <w:sz w:val="24"/>
              </w:rPr>
              <w:t>月</w:t>
            </w:r>
            <w:r w:rsidR="00CD0BE4">
              <w:rPr>
                <w:rFonts w:ascii="Times New Roman" w:eastAsia="楷体" w:hAnsi="Times New Roman" w:hint="eastAsia"/>
                <w:sz w:val="24"/>
              </w:rPr>
              <w:t>1</w:t>
            </w:r>
            <w:r w:rsidR="00E04B86">
              <w:rPr>
                <w:rFonts w:ascii="Times New Roman" w:eastAsia="楷体" w:hAnsi="Times New Roman" w:hint="eastAsia"/>
                <w:sz w:val="24"/>
              </w:rPr>
              <w:t>日</w:t>
            </w:r>
            <w:bookmarkStart w:id="0" w:name="_GoBack"/>
            <w:bookmarkEnd w:id="0"/>
          </w:p>
        </w:tc>
      </w:tr>
      <w:tr w:rsidR="00C947D4">
        <w:trPr>
          <w:trHeight w:val="702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地点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Default="00DB2152" w:rsidP="006439B3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江苏华盛锂电材料股份有限公司</w:t>
            </w:r>
            <w:r w:rsidR="006439B3">
              <w:rPr>
                <w:rFonts w:ascii="Times New Roman" w:eastAsia="楷体" w:hAnsi="Times New Roman" w:hint="eastAsia"/>
                <w:sz w:val="24"/>
              </w:rPr>
              <w:t>三期会议室</w:t>
            </w:r>
          </w:p>
        </w:tc>
      </w:tr>
      <w:tr w:rsidR="00C947D4">
        <w:trPr>
          <w:trHeight w:val="71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公司接待人员姓名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547" w:rsidRDefault="008B5547" w:rsidP="00DB2152">
            <w:pPr>
              <w:spacing w:beforeLines="50" w:before="156" w:afterLines="50" w:after="156"/>
              <w:rPr>
                <w:rFonts w:ascii="Times New Roman" w:eastAsia="楷体" w:hAnsi="Times New Roman"/>
                <w:sz w:val="24"/>
              </w:rPr>
            </w:pPr>
            <w:r w:rsidRPr="008B5547">
              <w:rPr>
                <w:rFonts w:ascii="Times New Roman" w:eastAsia="楷体" w:hAnsi="Times New Roman" w:hint="eastAsia"/>
                <w:sz w:val="24"/>
              </w:rPr>
              <w:t>副总经理、董事会秘书：黄振东</w:t>
            </w:r>
          </w:p>
          <w:p w:rsidR="00C947D4" w:rsidRDefault="003A4773" w:rsidP="00DB2152">
            <w:pPr>
              <w:spacing w:beforeLines="50" w:before="156" w:afterLines="50" w:after="156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证券事务代表：陆海媛</w:t>
            </w:r>
          </w:p>
        </w:tc>
      </w:tr>
      <w:tr w:rsidR="00C947D4">
        <w:trPr>
          <w:trHeight w:val="82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投资者关系活动主要内容介绍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Pr="00BC37C2" w:rsidRDefault="00E04B86" w:rsidP="00805B1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BC37C2">
              <w:rPr>
                <w:rFonts w:ascii="Times New Roman" w:eastAsia="楷体" w:hAnsi="Times New Roman"/>
                <w:sz w:val="24"/>
                <w:shd w:val="clear" w:color="auto" w:fill="FFFFFF"/>
              </w:rPr>
              <w:t>本次投资者交流会中，投资者重点关注的问题及公司的回复要点如下：</w:t>
            </w:r>
          </w:p>
          <w:p w:rsidR="00CD0BE4" w:rsidRPr="00CD0BE4" w:rsidRDefault="00CD0BE4" w:rsidP="00CD0BE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1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、公司硫化锂的制备工艺为何选择液相法，有何优势？</w:t>
            </w:r>
          </w:p>
          <w:p w:rsidR="00CD0BE4" w:rsidRPr="00CD0BE4" w:rsidRDefault="00CD0BE4" w:rsidP="00CD0BE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答：公司在主营产品电解液添加剂的生产过程中，深度积累了在合成、提纯以及溶剂回收等关键工序上的经验，形成了显著的技术优势。基于这些优势，公司经过审慎考量，最终选定液相法来制备高纯度硫化锂。该工艺具有纯度高、收率高、后续加工性能好等优势。</w:t>
            </w:r>
          </w:p>
          <w:p w:rsidR="00CD0BE4" w:rsidRPr="00CD0BE4" w:rsidRDefault="00CD0BE4" w:rsidP="00CD0BE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2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、半固态电池、固态电池出现是否会冲击公司现有的电解液添加剂业务？公司将如何应对？</w:t>
            </w:r>
          </w:p>
          <w:p w:rsidR="00CD0BE4" w:rsidRPr="00CD0BE4" w:rsidRDefault="00CD0BE4" w:rsidP="00CD0BE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答：随着行业的发展以及技术的迭代，新型技术路径如氢燃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lastRenderedPageBreak/>
              <w:t>料电池、固态锂离子电池等新型电池可能对现有的液态锂离子电池产生冲击。但任何新技术的产业化都需要不断地经过市场的验证，各种技术路线的电池产品也将长期在市场上共存，大部分技术路线仍然将使用公司的各类电解液添加剂产品。公司同时也密切关注长效安全固态锂电池材料的发展，着重固态电池的电解质材料的设计与开发，以及提高电极稳定性和传导性的材料的设计与开发，用于满足下一代长寿命高输出动力型固态锂电池材料的市场需求，如硫化物固态电解质以及高导电性添加剂等材料的研究开发。</w:t>
            </w:r>
            <w:r w:rsidRPr="00CD0BE4">
              <w:rPr>
                <w:rFonts w:ascii="Times New Roman" w:eastAsia="楷体" w:hAnsi="Times New Roman"/>
                <w:sz w:val="24"/>
                <w:shd w:val="clear" w:color="auto" w:fill="FFFFFF"/>
              </w:rPr>
              <w:t xml:space="preserve"> </w:t>
            </w:r>
          </w:p>
          <w:p w:rsidR="00CD0BE4" w:rsidRPr="00CD0BE4" w:rsidRDefault="00CD0BE4" w:rsidP="00CD0BE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3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、公司业绩预计何时能有拐点？添加剂行业现状如何？</w:t>
            </w:r>
          </w:p>
          <w:p w:rsidR="00CD0BE4" w:rsidRPr="00CD0BE4" w:rsidRDefault="00CD0BE4" w:rsidP="00CD0BE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答：公司管理层对公司长期发展有着坚定的信心，公司将持续加强经营管理，努力提高盈利能力，力争以优异的业绩回报广大投资者；同时继续做好信息披露工作、加强投资者沟通，积极向市场传递公司投资价值。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2022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年开始电解液添加剂新增产能逐步释放，市场逐步出现供大于求的状况，在产能过剩的背景下，高成本的同质化产能将不断出清。在这一个过程中，那些拥有成本控制优势、稳固客户基础，并且不断致力于成本控制和质量提升的企业，将能够在激烈的市场竞争中崭露头角，实现长期可持续的发展。</w:t>
            </w:r>
          </w:p>
          <w:p w:rsidR="00CD0BE4" w:rsidRPr="00CD0BE4" w:rsidRDefault="00CD0BE4" w:rsidP="00CD0BE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4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、请问公司目前锂电的产能有多少？</w:t>
            </w:r>
          </w:p>
          <w:p w:rsidR="002824F1" w:rsidRPr="002824F1" w:rsidRDefault="00CD0BE4" w:rsidP="00CD0BE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hd w:val="clear" w:color="auto" w:fill="FFFFFF"/>
              </w:rPr>
            </w:pP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答：公司积极扩展电解液添加剂产品的产能，目前拥有张家港一期、二期、三期以及全资子公司泰兴华盛四个生产基地，随着公司募投项目三期的建成投产，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VC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FEC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产品达到年产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14,000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吨的生产能力，其余锂电池相关材料如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3000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吨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/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年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LIFSI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40000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吨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/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年氯代碳酸乙烯酯、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500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吨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/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年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LiDFOB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2,000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吨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/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年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MMDS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、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3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万吨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/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年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VC</w:t>
            </w:r>
            <w:r w:rsidRPr="00CD0BE4">
              <w:rPr>
                <w:rFonts w:ascii="Times New Roman" w:eastAsia="楷体" w:hAnsi="Times New Roman" w:hint="eastAsia"/>
                <w:sz w:val="24"/>
                <w:shd w:val="clear" w:color="auto" w:fill="FFFFFF"/>
              </w:rPr>
              <w:t>及负极材料等产品都在积极推进中，随着上述产能逐步释放，都将为公司提供新的赢利点。</w:t>
            </w:r>
          </w:p>
        </w:tc>
      </w:tr>
      <w:tr w:rsidR="00C947D4">
        <w:trPr>
          <w:trHeight w:val="82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lastRenderedPageBreak/>
              <w:t>附件清单（如有）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7D4" w:rsidRDefault="00DB2152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无</w:t>
            </w:r>
          </w:p>
        </w:tc>
      </w:tr>
      <w:tr w:rsidR="00C947D4" w:rsidTr="00805B1D">
        <w:trPr>
          <w:trHeight w:val="842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7D4" w:rsidRDefault="00DB2152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日期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7D4" w:rsidRDefault="00DB2152" w:rsidP="00CD0BE4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202</w:t>
            </w:r>
            <w:r w:rsidR="00BC37C2">
              <w:rPr>
                <w:rFonts w:ascii="Times New Roman" w:eastAsia="楷体" w:hAnsi="Times New Roman" w:hint="eastAsia"/>
                <w:sz w:val="24"/>
              </w:rPr>
              <w:t>5</w:t>
            </w:r>
            <w:r>
              <w:rPr>
                <w:rFonts w:ascii="Times New Roman" w:eastAsia="楷体" w:hAnsi="Times New Roman"/>
                <w:sz w:val="24"/>
              </w:rPr>
              <w:t>年</w:t>
            </w:r>
            <w:r w:rsidR="00CD0BE4">
              <w:rPr>
                <w:rFonts w:ascii="Times New Roman" w:eastAsia="楷体" w:hAnsi="Times New Roman" w:hint="eastAsia"/>
                <w:sz w:val="24"/>
              </w:rPr>
              <w:t>7</w:t>
            </w:r>
            <w:r>
              <w:rPr>
                <w:rFonts w:ascii="Times New Roman" w:eastAsia="楷体" w:hAnsi="Times New Roman"/>
                <w:sz w:val="24"/>
              </w:rPr>
              <w:t>月</w:t>
            </w:r>
            <w:r w:rsidR="00CD0BE4">
              <w:rPr>
                <w:rFonts w:ascii="Times New Roman" w:eastAsia="楷体" w:hAnsi="Times New Roman" w:hint="eastAsia"/>
                <w:sz w:val="24"/>
              </w:rPr>
              <w:t>1</w:t>
            </w:r>
            <w:r w:rsidR="00E04B86">
              <w:rPr>
                <w:rFonts w:ascii="Times New Roman" w:eastAsia="楷体" w:hAnsi="Times New Roman" w:hint="eastAsia"/>
                <w:sz w:val="24"/>
              </w:rPr>
              <w:t>日</w:t>
            </w:r>
          </w:p>
        </w:tc>
      </w:tr>
    </w:tbl>
    <w:p w:rsidR="00C947D4" w:rsidRDefault="00C947D4" w:rsidP="00805B1D">
      <w:pPr>
        <w:widowControl/>
        <w:spacing w:line="20" w:lineRule="exact"/>
        <w:jc w:val="left"/>
      </w:pPr>
    </w:p>
    <w:sectPr w:rsidR="00C947D4">
      <w:headerReference w:type="default" r:id="rId9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7D" w:rsidRDefault="006D217D">
      <w:r>
        <w:separator/>
      </w:r>
    </w:p>
  </w:endnote>
  <w:endnote w:type="continuationSeparator" w:id="0">
    <w:p w:rsidR="006D217D" w:rsidRDefault="006D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7D" w:rsidRDefault="006D217D">
      <w:r>
        <w:separator/>
      </w:r>
    </w:p>
  </w:footnote>
  <w:footnote w:type="continuationSeparator" w:id="0">
    <w:p w:rsidR="006D217D" w:rsidRDefault="006D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52" w:rsidRDefault="00DB2152">
    <w:pPr>
      <w:pStyle w:val="a6"/>
      <w:rPr>
        <w:rFonts w:ascii="楷体" w:eastAsia="楷体" w:hAnsi="楷体"/>
      </w:rPr>
    </w:pPr>
    <w:r>
      <w:rPr>
        <w:rFonts w:ascii="楷体" w:eastAsia="楷体" w:hAnsi="楷体" w:hint="eastAsia"/>
      </w:rPr>
      <w:t xml:space="preserve">江苏华盛锂电材料股份有限公司 </w:t>
    </w:r>
    <w:r>
      <w:rPr>
        <w:rFonts w:ascii="楷体" w:eastAsia="楷体" w:hAnsi="楷体"/>
      </w:rPr>
      <w:t xml:space="preserve">                                               </w:t>
    </w:r>
    <w:r>
      <w:rPr>
        <w:rFonts w:ascii="楷体" w:eastAsia="楷体" w:hAnsi="楷体" w:hint="eastAsia"/>
      </w:rPr>
      <w:t>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18"/>
    <w:rsid w:val="00001488"/>
    <w:rsid w:val="000076A8"/>
    <w:rsid w:val="0001396B"/>
    <w:rsid w:val="00013B2C"/>
    <w:rsid w:val="000251BC"/>
    <w:rsid w:val="0002600A"/>
    <w:rsid w:val="00031EDC"/>
    <w:rsid w:val="00032FBF"/>
    <w:rsid w:val="0004190F"/>
    <w:rsid w:val="0006665D"/>
    <w:rsid w:val="000752AD"/>
    <w:rsid w:val="000B7145"/>
    <w:rsid w:val="000C0917"/>
    <w:rsid w:val="000D1EEA"/>
    <w:rsid w:val="000E0A29"/>
    <w:rsid w:val="000E4A02"/>
    <w:rsid w:val="000F7A15"/>
    <w:rsid w:val="00106CE5"/>
    <w:rsid w:val="00110AC1"/>
    <w:rsid w:val="00110FC0"/>
    <w:rsid w:val="00114A39"/>
    <w:rsid w:val="00114B26"/>
    <w:rsid w:val="00121DE3"/>
    <w:rsid w:val="00127A0C"/>
    <w:rsid w:val="0013291D"/>
    <w:rsid w:val="001356DC"/>
    <w:rsid w:val="00135DE9"/>
    <w:rsid w:val="00136571"/>
    <w:rsid w:val="0014063C"/>
    <w:rsid w:val="001716C9"/>
    <w:rsid w:val="00172A27"/>
    <w:rsid w:val="001764CF"/>
    <w:rsid w:val="00180E8C"/>
    <w:rsid w:val="001C3E04"/>
    <w:rsid w:val="001C65A5"/>
    <w:rsid w:val="001D107B"/>
    <w:rsid w:val="001D76A0"/>
    <w:rsid w:val="002051B0"/>
    <w:rsid w:val="00214F3F"/>
    <w:rsid w:val="0021568D"/>
    <w:rsid w:val="002421F3"/>
    <w:rsid w:val="0025795E"/>
    <w:rsid w:val="002707AC"/>
    <w:rsid w:val="002824F1"/>
    <w:rsid w:val="002A5DDA"/>
    <w:rsid w:val="002B1EA1"/>
    <w:rsid w:val="002B2792"/>
    <w:rsid w:val="002B5738"/>
    <w:rsid w:val="002E7DD1"/>
    <w:rsid w:val="003046C0"/>
    <w:rsid w:val="003146EB"/>
    <w:rsid w:val="003168B2"/>
    <w:rsid w:val="00342805"/>
    <w:rsid w:val="00356C12"/>
    <w:rsid w:val="0036096D"/>
    <w:rsid w:val="00362CEE"/>
    <w:rsid w:val="003712F0"/>
    <w:rsid w:val="00372B7B"/>
    <w:rsid w:val="00382BB7"/>
    <w:rsid w:val="00384A01"/>
    <w:rsid w:val="00385F42"/>
    <w:rsid w:val="003864BC"/>
    <w:rsid w:val="00391142"/>
    <w:rsid w:val="00394720"/>
    <w:rsid w:val="003A22AA"/>
    <w:rsid w:val="003A4773"/>
    <w:rsid w:val="003C56D1"/>
    <w:rsid w:val="003D2184"/>
    <w:rsid w:val="003D561B"/>
    <w:rsid w:val="003E6473"/>
    <w:rsid w:val="003F6DC0"/>
    <w:rsid w:val="00402082"/>
    <w:rsid w:val="00415566"/>
    <w:rsid w:val="0042296F"/>
    <w:rsid w:val="00422A0C"/>
    <w:rsid w:val="00426B09"/>
    <w:rsid w:val="00432FC9"/>
    <w:rsid w:val="004413F5"/>
    <w:rsid w:val="00452094"/>
    <w:rsid w:val="00453D13"/>
    <w:rsid w:val="00456D35"/>
    <w:rsid w:val="00461E20"/>
    <w:rsid w:val="004646BB"/>
    <w:rsid w:val="00464AC6"/>
    <w:rsid w:val="004672FD"/>
    <w:rsid w:val="00476C84"/>
    <w:rsid w:val="004853F9"/>
    <w:rsid w:val="0049067C"/>
    <w:rsid w:val="00496215"/>
    <w:rsid w:val="00496ED9"/>
    <w:rsid w:val="004A033B"/>
    <w:rsid w:val="004A215B"/>
    <w:rsid w:val="004A227A"/>
    <w:rsid w:val="004B35E2"/>
    <w:rsid w:val="004B42FE"/>
    <w:rsid w:val="004C7EAD"/>
    <w:rsid w:val="004D001F"/>
    <w:rsid w:val="004D3F22"/>
    <w:rsid w:val="004D45FF"/>
    <w:rsid w:val="004E3115"/>
    <w:rsid w:val="004F3029"/>
    <w:rsid w:val="0050067C"/>
    <w:rsid w:val="005026B6"/>
    <w:rsid w:val="00502E9C"/>
    <w:rsid w:val="00520FE3"/>
    <w:rsid w:val="0052527D"/>
    <w:rsid w:val="00530F80"/>
    <w:rsid w:val="00532959"/>
    <w:rsid w:val="005515C2"/>
    <w:rsid w:val="00556BB3"/>
    <w:rsid w:val="0056159D"/>
    <w:rsid w:val="00563FA2"/>
    <w:rsid w:val="005703A5"/>
    <w:rsid w:val="005761E2"/>
    <w:rsid w:val="005858D9"/>
    <w:rsid w:val="0059023D"/>
    <w:rsid w:val="00593A35"/>
    <w:rsid w:val="005B02EB"/>
    <w:rsid w:val="005C7A1B"/>
    <w:rsid w:val="005D4B0E"/>
    <w:rsid w:val="005F4618"/>
    <w:rsid w:val="0060293E"/>
    <w:rsid w:val="00605E6F"/>
    <w:rsid w:val="00612D1C"/>
    <w:rsid w:val="00613EDC"/>
    <w:rsid w:val="0062262A"/>
    <w:rsid w:val="006264DF"/>
    <w:rsid w:val="00627ADB"/>
    <w:rsid w:val="006439B3"/>
    <w:rsid w:val="00646058"/>
    <w:rsid w:val="006469A4"/>
    <w:rsid w:val="00653097"/>
    <w:rsid w:val="00661F6B"/>
    <w:rsid w:val="00664FF6"/>
    <w:rsid w:val="006655B9"/>
    <w:rsid w:val="006672F6"/>
    <w:rsid w:val="006B0D03"/>
    <w:rsid w:val="006B22F5"/>
    <w:rsid w:val="006C7C57"/>
    <w:rsid w:val="006D217D"/>
    <w:rsid w:val="006D2E8D"/>
    <w:rsid w:val="006D389E"/>
    <w:rsid w:val="0071100A"/>
    <w:rsid w:val="00711238"/>
    <w:rsid w:val="0071206F"/>
    <w:rsid w:val="00712771"/>
    <w:rsid w:val="00714B40"/>
    <w:rsid w:val="00720F84"/>
    <w:rsid w:val="0073320D"/>
    <w:rsid w:val="00736A80"/>
    <w:rsid w:val="00742D08"/>
    <w:rsid w:val="00744CAC"/>
    <w:rsid w:val="007460EB"/>
    <w:rsid w:val="00746C2A"/>
    <w:rsid w:val="007477DF"/>
    <w:rsid w:val="007713DA"/>
    <w:rsid w:val="00792EEF"/>
    <w:rsid w:val="007A4530"/>
    <w:rsid w:val="007A6F30"/>
    <w:rsid w:val="007A7D7C"/>
    <w:rsid w:val="007B371D"/>
    <w:rsid w:val="007B4CF9"/>
    <w:rsid w:val="007C1B43"/>
    <w:rsid w:val="007D738A"/>
    <w:rsid w:val="007E6A6F"/>
    <w:rsid w:val="007F2858"/>
    <w:rsid w:val="007F717B"/>
    <w:rsid w:val="007F74C6"/>
    <w:rsid w:val="007F7552"/>
    <w:rsid w:val="00800D77"/>
    <w:rsid w:val="00804834"/>
    <w:rsid w:val="00804B8F"/>
    <w:rsid w:val="00804DE1"/>
    <w:rsid w:val="008057B4"/>
    <w:rsid w:val="00805B1D"/>
    <w:rsid w:val="008414A2"/>
    <w:rsid w:val="0085027B"/>
    <w:rsid w:val="00854B7A"/>
    <w:rsid w:val="00870B23"/>
    <w:rsid w:val="00891E31"/>
    <w:rsid w:val="008A10B2"/>
    <w:rsid w:val="008B1C28"/>
    <w:rsid w:val="008B5547"/>
    <w:rsid w:val="008C24CC"/>
    <w:rsid w:val="008C7A2E"/>
    <w:rsid w:val="008C7E7C"/>
    <w:rsid w:val="008D1D7F"/>
    <w:rsid w:val="008F010B"/>
    <w:rsid w:val="008F64E9"/>
    <w:rsid w:val="008F77EE"/>
    <w:rsid w:val="00904EA2"/>
    <w:rsid w:val="00940831"/>
    <w:rsid w:val="00950339"/>
    <w:rsid w:val="00960FAA"/>
    <w:rsid w:val="009626AA"/>
    <w:rsid w:val="0097726C"/>
    <w:rsid w:val="0098145D"/>
    <w:rsid w:val="00981912"/>
    <w:rsid w:val="009830FD"/>
    <w:rsid w:val="009918C4"/>
    <w:rsid w:val="009A084D"/>
    <w:rsid w:val="009B005C"/>
    <w:rsid w:val="009B0125"/>
    <w:rsid w:val="009B58AF"/>
    <w:rsid w:val="009C379C"/>
    <w:rsid w:val="009D40D8"/>
    <w:rsid w:val="009D718A"/>
    <w:rsid w:val="009E1B35"/>
    <w:rsid w:val="009E74AD"/>
    <w:rsid w:val="009F29D5"/>
    <w:rsid w:val="009F3DC7"/>
    <w:rsid w:val="009F3F06"/>
    <w:rsid w:val="00A02568"/>
    <w:rsid w:val="00A04DD5"/>
    <w:rsid w:val="00A05634"/>
    <w:rsid w:val="00A127DE"/>
    <w:rsid w:val="00A24A6E"/>
    <w:rsid w:val="00A55870"/>
    <w:rsid w:val="00A62859"/>
    <w:rsid w:val="00A6428F"/>
    <w:rsid w:val="00A73B46"/>
    <w:rsid w:val="00A75413"/>
    <w:rsid w:val="00A82D19"/>
    <w:rsid w:val="00A87B8F"/>
    <w:rsid w:val="00A9103F"/>
    <w:rsid w:val="00A93B61"/>
    <w:rsid w:val="00A950CC"/>
    <w:rsid w:val="00A96029"/>
    <w:rsid w:val="00AA1054"/>
    <w:rsid w:val="00AB3F05"/>
    <w:rsid w:val="00AC1815"/>
    <w:rsid w:val="00AC36A7"/>
    <w:rsid w:val="00AE1D23"/>
    <w:rsid w:val="00AF121D"/>
    <w:rsid w:val="00B029F9"/>
    <w:rsid w:val="00B0524B"/>
    <w:rsid w:val="00B16C30"/>
    <w:rsid w:val="00B273B0"/>
    <w:rsid w:val="00B418A3"/>
    <w:rsid w:val="00B4214A"/>
    <w:rsid w:val="00B533A2"/>
    <w:rsid w:val="00B5658A"/>
    <w:rsid w:val="00B62C32"/>
    <w:rsid w:val="00B64DFA"/>
    <w:rsid w:val="00B85A0D"/>
    <w:rsid w:val="00B90446"/>
    <w:rsid w:val="00BA14F2"/>
    <w:rsid w:val="00BA5BFE"/>
    <w:rsid w:val="00BA7DD1"/>
    <w:rsid w:val="00BB4944"/>
    <w:rsid w:val="00BC37C2"/>
    <w:rsid w:val="00BC3D46"/>
    <w:rsid w:val="00BD0C60"/>
    <w:rsid w:val="00BE08B7"/>
    <w:rsid w:val="00BE2645"/>
    <w:rsid w:val="00BE67F0"/>
    <w:rsid w:val="00C064EA"/>
    <w:rsid w:val="00C3372B"/>
    <w:rsid w:val="00C358B5"/>
    <w:rsid w:val="00C42CBD"/>
    <w:rsid w:val="00C4451C"/>
    <w:rsid w:val="00C510B0"/>
    <w:rsid w:val="00C51B18"/>
    <w:rsid w:val="00C5461F"/>
    <w:rsid w:val="00C61A3F"/>
    <w:rsid w:val="00C63FD3"/>
    <w:rsid w:val="00C70626"/>
    <w:rsid w:val="00C80A5E"/>
    <w:rsid w:val="00C947D4"/>
    <w:rsid w:val="00C95434"/>
    <w:rsid w:val="00CA27D4"/>
    <w:rsid w:val="00CA6F63"/>
    <w:rsid w:val="00CC62F4"/>
    <w:rsid w:val="00CC75B4"/>
    <w:rsid w:val="00CD0BE4"/>
    <w:rsid w:val="00CE3455"/>
    <w:rsid w:val="00CF0E73"/>
    <w:rsid w:val="00CF47E1"/>
    <w:rsid w:val="00CF6E94"/>
    <w:rsid w:val="00D0634E"/>
    <w:rsid w:val="00D1386F"/>
    <w:rsid w:val="00D156EC"/>
    <w:rsid w:val="00D320C3"/>
    <w:rsid w:val="00D57B48"/>
    <w:rsid w:val="00D83A19"/>
    <w:rsid w:val="00DA0D89"/>
    <w:rsid w:val="00DA3C8F"/>
    <w:rsid w:val="00DB2152"/>
    <w:rsid w:val="00DB35E3"/>
    <w:rsid w:val="00DB738F"/>
    <w:rsid w:val="00DC6FE4"/>
    <w:rsid w:val="00DD0014"/>
    <w:rsid w:val="00DD1BCC"/>
    <w:rsid w:val="00DD5690"/>
    <w:rsid w:val="00DD5E20"/>
    <w:rsid w:val="00DE1B2B"/>
    <w:rsid w:val="00DE7187"/>
    <w:rsid w:val="00DF0E83"/>
    <w:rsid w:val="00DF2823"/>
    <w:rsid w:val="00DF3D1C"/>
    <w:rsid w:val="00E01EEA"/>
    <w:rsid w:val="00E04B86"/>
    <w:rsid w:val="00E055F9"/>
    <w:rsid w:val="00E11158"/>
    <w:rsid w:val="00E23166"/>
    <w:rsid w:val="00E27593"/>
    <w:rsid w:val="00E33B82"/>
    <w:rsid w:val="00E37D7D"/>
    <w:rsid w:val="00E42839"/>
    <w:rsid w:val="00E43D1B"/>
    <w:rsid w:val="00E43E56"/>
    <w:rsid w:val="00E46E07"/>
    <w:rsid w:val="00E509DB"/>
    <w:rsid w:val="00E51087"/>
    <w:rsid w:val="00E5460E"/>
    <w:rsid w:val="00E751D8"/>
    <w:rsid w:val="00E90C93"/>
    <w:rsid w:val="00E91FB3"/>
    <w:rsid w:val="00E9483C"/>
    <w:rsid w:val="00E95915"/>
    <w:rsid w:val="00EA151C"/>
    <w:rsid w:val="00EA7263"/>
    <w:rsid w:val="00EC7D20"/>
    <w:rsid w:val="00EE0078"/>
    <w:rsid w:val="00EE1486"/>
    <w:rsid w:val="00EE5C90"/>
    <w:rsid w:val="00EE7267"/>
    <w:rsid w:val="00EF18FB"/>
    <w:rsid w:val="00F05D98"/>
    <w:rsid w:val="00F3084E"/>
    <w:rsid w:val="00F347DB"/>
    <w:rsid w:val="00F3591D"/>
    <w:rsid w:val="00F572D6"/>
    <w:rsid w:val="00F6067C"/>
    <w:rsid w:val="00F6299C"/>
    <w:rsid w:val="00F65DD0"/>
    <w:rsid w:val="00F67637"/>
    <w:rsid w:val="00F739E9"/>
    <w:rsid w:val="00F7709D"/>
    <w:rsid w:val="00F838D5"/>
    <w:rsid w:val="00FA5733"/>
    <w:rsid w:val="00FA5D36"/>
    <w:rsid w:val="00FB0456"/>
    <w:rsid w:val="00FD02B3"/>
    <w:rsid w:val="00FD33E7"/>
    <w:rsid w:val="00FE2E5A"/>
    <w:rsid w:val="00FF4AE9"/>
    <w:rsid w:val="00FF5BE3"/>
    <w:rsid w:val="23DB3F63"/>
    <w:rsid w:val="24465EFD"/>
    <w:rsid w:val="2E7712D2"/>
    <w:rsid w:val="2EF861C1"/>
    <w:rsid w:val="38EF7122"/>
    <w:rsid w:val="3F855194"/>
    <w:rsid w:val="64421FF9"/>
    <w:rsid w:val="67E5006B"/>
    <w:rsid w:val="7143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rPr>
      <w:b/>
      <w:bCs/>
    </w:rPr>
  </w:style>
  <w:style w:type="table" w:styleId="a8">
    <w:name w:val="Table Grid"/>
    <w:basedOn w:val="a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semiHidden/>
    <w:unhideWhenUsed/>
    <w:rPr>
      <w:sz w:val="21"/>
      <w:szCs w:val="21"/>
    </w:rPr>
  </w:style>
  <w:style w:type="paragraph" w:customStyle="1" w:styleId="TableParagraph">
    <w:name w:val="Table Paragraph"/>
    <w:basedOn w:val="a"/>
    <w:qFormat/>
    <w:pPr>
      <w:jc w:val="left"/>
    </w:pPr>
    <w:rPr>
      <w:kern w:val="0"/>
      <w:sz w:val="22"/>
      <w:szCs w:val="22"/>
    </w:rPr>
  </w:style>
  <w:style w:type="table" w:customStyle="1" w:styleId="TableNormal">
    <w:name w:val="Table Normal"/>
    <w:basedOn w:val="a1"/>
    <w:semiHidden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页眉 Char"/>
    <w:link w:val="a6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rPr>
      <w:rFonts w:cs="Times New Roman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oli-avatar-text">
    <w:name w:val="oli-avatar-text"/>
    <w:basedOn w:val="a0"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semiHidden/>
    <w:rPr>
      <w:rFonts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rPr>
      <w:rFonts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rPr>
      <w:rFonts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rPr>
      <w:rFonts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rPr>
      <w:b/>
      <w:bCs/>
    </w:rPr>
  </w:style>
  <w:style w:type="table" w:styleId="a8">
    <w:name w:val="Table Grid"/>
    <w:basedOn w:val="a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semiHidden/>
    <w:unhideWhenUsed/>
    <w:rPr>
      <w:sz w:val="21"/>
      <w:szCs w:val="21"/>
    </w:rPr>
  </w:style>
  <w:style w:type="paragraph" w:customStyle="1" w:styleId="TableParagraph">
    <w:name w:val="Table Paragraph"/>
    <w:basedOn w:val="a"/>
    <w:qFormat/>
    <w:pPr>
      <w:jc w:val="left"/>
    </w:pPr>
    <w:rPr>
      <w:kern w:val="0"/>
      <w:sz w:val="22"/>
      <w:szCs w:val="22"/>
    </w:rPr>
  </w:style>
  <w:style w:type="table" w:customStyle="1" w:styleId="TableNormal">
    <w:name w:val="Table Normal"/>
    <w:basedOn w:val="a1"/>
    <w:semiHidden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页眉 Char"/>
    <w:link w:val="a6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rPr>
      <w:rFonts w:cs="Times New Roman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oli-avatar-text">
    <w:name w:val="oli-avatar-text"/>
    <w:basedOn w:val="a0"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semiHidden/>
    <w:rPr>
      <w:rFonts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rPr>
      <w:rFonts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rPr>
      <w:rFonts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rPr>
      <w:rFonts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73BC98-4222-4D67-A978-423C217D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194</Words>
  <Characters>1109</Characters>
  <Application>Microsoft Office Word</Application>
  <DocSecurity>0</DocSecurity>
  <Lines>9</Lines>
  <Paragraphs>2</Paragraphs>
  <ScaleCrop>false</ScaleCrop>
  <Company>Kingsoft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朱凯</cp:lastModifiedBy>
  <cp:revision>30</cp:revision>
  <cp:lastPrinted>2022-03-16T07:42:00Z</cp:lastPrinted>
  <dcterms:created xsi:type="dcterms:W3CDTF">2022-11-25T07:23:00Z</dcterms:created>
  <dcterms:modified xsi:type="dcterms:W3CDTF">2025-07-01T09:10:00Z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