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1837">
      <w:pPr>
        <w:ind w:firstLine="120" w:firstLineChars="50"/>
        <w:rPr>
          <w:b/>
          <w:bCs/>
          <w:iCs/>
          <w:color w:val="000000"/>
        </w:rPr>
      </w:pPr>
      <w:r>
        <w:rPr>
          <w:bCs/>
          <w:iCs/>
          <w:color w:val="000000"/>
        </w:rPr>
        <w:t>证券代码：6</w:t>
      </w:r>
      <w:r>
        <w:rPr>
          <w:rFonts w:hint="eastAsia"/>
          <w:bCs/>
          <w:iCs/>
          <w:color w:val="000000"/>
        </w:rPr>
        <w:t>05388</w:t>
      </w:r>
      <w:r>
        <w:rPr>
          <w:bCs/>
          <w:iCs/>
          <w:color w:val="000000"/>
        </w:rPr>
        <w:t xml:space="preserve">                               证券简称：</w:t>
      </w:r>
      <w:r>
        <w:rPr>
          <w:rFonts w:hint="eastAsia"/>
          <w:bCs/>
          <w:iCs/>
          <w:color w:val="000000"/>
        </w:rPr>
        <w:t>均瑶健康</w:t>
      </w:r>
    </w:p>
    <w:p w14:paraId="482FEC5E">
      <w:pPr>
        <w:spacing w:before="156" w:beforeLines="50" w:after="156" w:afterLines="50"/>
        <w:ind w:firstLine="0" w:firstLineChars="0"/>
        <w:jc w:val="center"/>
        <w:rPr>
          <w:b/>
          <w:bCs/>
          <w:iCs/>
          <w:color w:val="000000"/>
          <w:sz w:val="28"/>
          <w:szCs w:val="28"/>
        </w:rPr>
      </w:pPr>
      <w:r>
        <w:rPr>
          <w:rFonts w:hint="eastAsia"/>
          <w:b/>
          <w:bCs/>
          <w:iCs/>
          <w:color w:val="000000"/>
          <w:sz w:val="28"/>
          <w:szCs w:val="28"/>
        </w:rPr>
        <w:t>湖北均瑶大健康饮品</w:t>
      </w:r>
      <w:r>
        <w:rPr>
          <w:b/>
          <w:bCs/>
          <w:iCs/>
          <w:color w:val="000000"/>
          <w:sz w:val="28"/>
          <w:szCs w:val="28"/>
        </w:rPr>
        <w:t>股份有限公司投资者关系活动记录表</w:t>
      </w:r>
    </w:p>
    <w:p w14:paraId="718BABAF">
      <w:pPr>
        <w:spacing w:line="400" w:lineRule="exact"/>
        <w:ind w:firstLine="480"/>
        <w:rPr>
          <w:rFonts w:hint="eastAsia" w:eastAsia="宋体"/>
          <w:bCs/>
          <w:iCs/>
          <w:color w:val="000000"/>
          <w:lang w:val="en-US" w:eastAsia="zh-CN"/>
        </w:rPr>
      </w:pPr>
      <w:r>
        <w:rPr>
          <w:bCs/>
          <w:iCs/>
          <w:color w:val="000000"/>
        </w:rPr>
        <w:t xml:space="preserve">                                                 编号：</w:t>
      </w:r>
      <w:r>
        <w:rPr>
          <w:bCs/>
          <w:iCs/>
          <w:color w:val="000000"/>
          <w:highlight w:val="none"/>
        </w:rPr>
        <w:t>202</w:t>
      </w:r>
      <w:r>
        <w:rPr>
          <w:rFonts w:hint="eastAsia"/>
          <w:bCs/>
          <w:iCs/>
          <w:color w:val="000000"/>
          <w:highlight w:val="none"/>
          <w:lang w:val="en-US" w:eastAsia="zh-CN"/>
        </w:rPr>
        <w:t>5</w:t>
      </w:r>
      <w:r>
        <w:rPr>
          <w:bCs/>
          <w:iCs/>
          <w:color w:val="000000"/>
          <w:highlight w:val="none"/>
        </w:rPr>
        <w:t>-00</w:t>
      </w:r>
      <w:r>
        <w:rPr>
          <w:rFonts w:hint="eastAsia"/>
          <w:bCs/>
          <w:iCs/>
          <w:color w:val="000000"/>
          <w:highlight w:val="none"/>
          <w:lang w:val="en-US" w:eastAsia="zh-CN"/>
        </w:rPr>
        <w:t>7</w:t>
      </w:r>
    </w:p>
    <w:tbl>
      <w:tblPr>
        <w:tblStyle w:val="11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59"/>
      </w:tblGrid>
      <w:tr w14:paraId="32AA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5B1A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投资者关系活动类别</w:t>
            </w:r>
          </w:p>
          <w:p w14:paraId="2421B81C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BE79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52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特定对象调研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分析师会议</w:t>
            </w:r>
          </w:p>
          <w:p w14:paraId="7DB7F98D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媒体采访    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highlight w:val="none"/>
              </w:rPr>
              <w:t>业绩说明会</w:t>
            </w:r>
          </w:p>
          <w:p w14:paraId="15ED8F03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新闻发布会  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路演活动</w:t>
            </w:r>
          </w:p>
          <w:p w14:paraId="55941212">
            <w:pPr>
              <w:tabs>
                <w:tab w:val="left" w:pos="3045"/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现场参观</w:t>
            </w:r>
          </w:p>
          <w:p w14:paraId="2C862E48">
            <w:pPr>
              <w:tabs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52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其他（</w:t>
            </w:r>
            <w:r>
              <w:rPr>
                <w:rFonts w:hint="eastAsia" w:ascii="宋体" w:hAnsi="宋体"/>
                <w:highlight w:val="none"/>
                <w:u w:val="single"/>
                <w:lang w:val="en-US" w:eastAsia="zh-CN"/>
              </w:rPr>
              <w:t>券商策略会</w:t>
            </w:r>
            <w:r>
              <w:rPr>
                <w:highlight w:val="none"/>
              </w:rPr>
              <w:t>）</w:t>
            </w:r>
          </w:p>
        </w:tc>
      </w:tr>
      <w:tr w14:paraId="43D9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AF28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>参与单位名称及人员姓名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1D0B">
            <w:pPr>
              <w:ind w:left="0" w:leftChars="0" w:firstLine="0" w:firstLineChars="0"/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  <w:t>长江证券，华鑫证券，开源证券，华西证券，中信建投，东北证券，银河证券，国金证券，东方财富证券，天风证券，华源证券</w:t>
            </w: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，</w:t>
            </w:r>
            <w:r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  <w:t>国新证券</w:t>
            </w: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等</w:t>
            </w:r>
          </w:p>
        </w:tc>
      </w:tr>
      <w:tr w14:paraId="23E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47F6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时间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78FD">
            <w:pPr>
              <w:spacing w:line="480" w:lineRule="atLeast"/>
              <w:ind w:firstLine="0" w:firstLineChars="0"/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2025年6月</w:t>
            </w:r>
          </w:p>
        </w:tc>
      </w:tr>
      <w:tr w14:paraId="6EAC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08EF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地点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74A7">
            <w:pPr>
              <w:spacing w:line="480" w:lineRule="atLeast"/>
              <w:ind w:firstLine="0" w:firstLineChars="0"/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券商策略会、公司或线上交流</w:t>
            </w:r>
          </w:p>
        </w:tc>
      </w:tr>
      <w:tr w14:paraId="3193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E650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上市公司接待人员姓名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F648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董事会秘书：郭沁先生</w:t>
            </w:r>
          </w:p>
          <w:p w14:paraId="56D427F7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>IR：徐佳怡</w:t>
            </w:r>
          </w:p>
        </w:tc>
      </w:tr>
      <w:tr w14:paraId="0AD1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ACC2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投资者关系活动主要内容介绍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716AE">
            <w:pPr>
              <w:pStyle w:val="18"/>
              <w:numPr>
                <w:ilvl w:val="0"/>
                <w:numId w:val="1"/>
              </w:numPr>
              <w:tabs>
                <w:tab w:val="left" w:pos="598"/>
              </w:tabs>
              <w:autoSpaceDE w:val="0"/>
              <w:autoSpaceDN w:val="0"/>
              <w:adjustRightInd w:val="0"/>
              <w:ind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围绕均瑶健康的战略发展、益生菌业务、市场拓展情况以及供应链业务等方面，与市场进行了沟通交流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并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介绍了业务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经营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情况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及新品情况。</w:t>
            </w:r>
          </w:p>
          <w:p w14:paraId="3F649A77">
            <w:pPr>
              <w:pStyle w:val="18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96" w:firstLine="0" w:firstLineChars="0"/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业务情况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  <w:t>：</w:t>
            </w:r>
          </w:p>
          <w:p w14:paraId="4E3C3BB1">
            <w:pPr>
              <w:pStyle w:val="18"/>
              <w:numPr>
                <w:ilvl w:val="0"/>
                <w:numId w:val="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96" w:leftChars="0"/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经典味动力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  <w:t>乳酸菌饮品面对较强竞争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收入增速有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  <w:t>压力，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但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  <w:t>因成本下行，利润率有望修复。益生菌 B 端受限于产能规模，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前端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  <w:t>接近满产状态，新产能尚未落地；益生菌C端已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逐步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</w:rPr>
              <w:t>进入盈利状态，每日博士去年下半年在上市公司框架内重新运营，今年3月开始店播表现良好。</w:t>
            </w:r>
          </w:p>
          <w:p w14:paraId="0AA173D6">
            <w:pPr>
              <w:pStyle w:val="18"/>
              <w:numPr>
                <w:ilvl w:val="0"/>
                <w:numId w:val="2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96" w:firstLine="0" w:firstLineChars="0"/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新品动态：</w:t>
            </w:r>
          </w:p>
          <w:p w14:paraId="78791E3F">
            <w:pPr>
              <w:pStyle w:val="18"/>
              <w:numPr>
                <w:ilvl w:val="0"/>
                <w:numId w:val="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96" w:leftChars="0"/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①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低温新品处于修调口味配方后的试运营阶段，内测复购率和好评率数据良好；②每日美梦（益生菌</w:t>
            </w:r>
            <w:r>
              <w:rPr>
                <w:rFonts w:hint="default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 xml:space="preserve">+gaba 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助眠成分助眠）、每日睛彩（益生菌</w:t>
            </w:r>
            <w:r>
              <w:rPr>
                <w:rFonts w:hint="default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叶黄素等护眼成分）已进入上海华东等地区罗森系统、上海70家奥乐齐超市测试开始销售，味动力经典乳酸菌产品线推出芒果、蜜瓜等创新风味矩阵入驻青岛605家可好便利店，当前均为试运行阶段，初步观察3个月经营情况；③储备的益生菌+气泡水、益生菌+果汁、益生菌+草本水等产品会陆续通过泛原供应链铺货；④饮料新品条线第一阶段侧重验证研发思路和运营方法，后续计划推出第二阶段产品储备的新品。</w:t>
            </w:r>
          </w:p>
          <w:p w14:paraId="295B9077">
            <w:pPr>
              <w:pStyle w:val="18"/>
              <w:numPr>
                <w:ilvl w:val="0"/>
                <w:numId w:val="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96" w:leftChars="0"/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</w:pPr>
          </w:p>
          <w:p w14:paraId="1ACF82ED">
            <w:pPr>
              <w:pStyle w:val="18"/>
              <w:numPr>
                <w:ilvl w:val="0"/>
                <w:numId w:val="1"/>
              </w:numPr>
              <w:tabs>
                <w:tab w:val="left" w:pos="598"/>
              </w:tabs>
              <w:autoSpaceDE w:val="0"/>
              <w:autoSpaceDN w:val="0"/>
              <w:adjustRightInd w:val="0"/>
              <w:ind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沟通交流问答环节：</w:t>
            </w:r>
          </w:p>
          <w:p w14:paraId="68E48382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0" w:firstLine="462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公司的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低温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产品和养乐多的产品比较有什么区分？</w:t>
            </w:r>
          </w:p>
          <w:p w14:paraId="4F32C1E4">
            <w:pPr>
              <w:pStyle w:val="18"/>
              <w:tabs>
                <w:tab w:val="left" w:pos="462"/>
              </w:tabs>
              <w:ind w:firstLine="460" w:firstLineChars="191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从市场反馈来看，均瑶健康本次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低温活菌益生菌饮品</w:t>
            </w:r>
            <w:r>
              <w:rPr>
                <w:rFonts w:hint="eastAsia"/>
                <w:iCs/>
                <w:color w:val="000000"/>
                <w:highlight w:val="none"/>
              </w:rPr>
              <w:t>进入便利店（CVS）渠道后展现出较强的市场竞争力，单店日均销量（PSD）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目前测试数据良好</w:t>
            </w:r>
            <w:r>
              <w:rPr>
                <w:rFonts w:hint="eastAsia"/>
                <w:iCs/>
                <w:color w:val="000000"/>
                <w:highlight w:val="none"/>
              </w:rPr>
              <w:t>。养乐多作为市场基础稳固的成熟品牌，已形成稳定的消费认知；而均瑶健康新品采取的市场推广策略，依托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公司</w:t>
            </w:r>
            <w:r>
              <w:rPr>
                <w:rFonts w:hint="eastAsia"/>
                <w:iCs/>
                <w:color w:val="000000"/>
                <w:highlight w:val="none"/>
              </w:rPr>
              <w:t>在益生菌领域的专业研发能力，着重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体现饮品</w:t>
            </w:r>
            <w:r>
              <w:rPr>
                <w:rFonts w:hint="eastAsia"/>
                <w:iCs/>
                <w:color w:val="000000"/>
                <w:highlight w:val="none"/>
              </w:rPr>
              <w:t>菌种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iCs/>
                <w:color w:val="000000"/>
                <w:highlight w:val="none"/>
              </w:rPr>
              <w:t>多样性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以及菌株</w:t>
            </w:r>
            <w:r>
              <w:rPr>
                <w:rFonts w:hint="eastAsia"/>
                <w:iCs/>
                <w:color w:val="000000"/>
                <w:highlight w:val="none"/>
              </w:rPr>
              <w:t>活性水平层面的技术优势，同时构建更具市场竞争力的价格体系，并积极配合渠道开展营销活动，以提升产品渗透率与消费者触达率。</w:t>
            </w:r>
          </w:p>
          <w:p w14:paraId="53904F5C">
            <w:pPr>
              <w:tabs>
                <w:tab w:val="left" w:pos="462"/>
              </w:tabs>
              <w:ind w:firstLine="0" w:firstLineChars="0"/>
              <w:rPr>
                <w:iCs/>
                <w:color w:val="000000"/>
                <w:highlight w:val="none"/>
              </w:rPr>
            </w:pPr>
          </w:p>
          <w:p w14:paraId="5EC2013A">
            <w:pPr>
              <w:ind w:firstLine="482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2、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在饮料产品布局中，</w:t>
            </w:r>
            <w:r>
              <w:rPr>
                <w:rFonts w:hint="eastAsia"/>
                <w:b/>
                <w:bCs/>
                <w:highlight w:val="none"/>
              </w:rPr>
              <w:t>公司会考虑气泡水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或者</w:t>
            </w:r>
            <w:r>
              <w:rPr>
                <w:rFonts w:hint="eastAsia"/>
                <w:b/>
                <w:bCs/>
                <w:highlight w:val="none"/>
              </w:rPr>
              <w:t>果汁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吗</w:t>
            </w:r>
            <w:r>
              <w:rPr>
                <w:rFonts w:hint="eastAsia"/>
                <w:b/>
                <w:bCs/>
                <w:highlight w:val="none"/>
              </w:rPr>
              <w:t>？</w:t>
            </w:r>
          </w:p>
          <w:p w14:paraId="2C16C20B">
            <w:pPr>
              <w:pStyle w:val="18"/>
              <w:tabs>
                <w:tab w:val="left" w:pos="462"/>
              </w:tabs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均瑶健康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已有</w:t>
            </w:r>
            <w:r>
              <w:rPr>
                <w:rFonts w:hint="eastAsia"/>
                <w:iCs/>
                <w:color w:val="000000"/>
                <w:highlight w:val="none"/>
              </w:rPr>
              <w:t>布局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推出益生菌果汁以及益生菌轻乳汽水产品</w:t>
            </w:r>
            <w:r>
              <w:rPr>
                <w:rFonts w:hint="eastAsia"/>
                <w:iCs/>
                <w:color w:val="000000"/>
                <w:highlight w:val="none"/>
              </w:rPr>
              <w:t>品类，主要基于对消费市场的深度洞察与渠道需求的精准把握。在品类拓展过程中，公司整体团队中台的职能定位与工作要求将进行战略性调整，以更高效地支撑新品研发、渠道对接及市场推广等全链条工作，推动从“销量复盘导向”向“市场潜力验证与快速响应”的运营模式升级。</w:t>
            </w:r>
          </w:p>
          <w:p w14:paraId="3BF1CBCC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</w:rPr>
              <w:t>通过市场调研及餐饮场景的需求分析，公司发现餐饮渠道对即饮饮品存在结构性需求缺口。前期产品测试数据显示，相关品类在餐饮渠道展现出良好的市场接受度与销售潜力。据此，公司计划于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下半年</w:t>
            </w:r>
            <w:r>
              <w:rPr>
                <w:rFonts w:hint="eastAsia"/>
                <w:iCs/>
                <w:color w:val="000000"/>
                <w:highlight w:val="none"/>
              </w:rPr>
              <w:t>正式将其纳入市场销售矩阵，这一举措将成为现阶段产品战略落地的关键环节。</w:t>
            </w:r>
          </w:p>
          <w:p w14:paraId="6DA699AC">
            <w:pPr>
              <w:tabs>
                <w:tab w:val="left" w:pos="462"/>
              </w:tabs>
              <w:ind w:firstLine="0" w:firstLineChars="0"/>
              <w:rPr>
                <w:rFonts w:hint="eastAsia"/>
                <w:iCs/>
                <w:color w:val="000000"/>
                <w:highlight w:val="none"/>
              </w:rPr>
            </w:pPr>
          </w:p>
          <w:p w14:paraId="1EB368B5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3、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公司益生菌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每日博士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业务的情况？</w:t>
            </w:r>
          </w:p>
          <w:p w14:paraId="36338CA3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均瑶健康旗下益生菌 C 端品牌 “每日博士”于去年下半年在上市公司体系内重启专业化运营，重点推进运营合规性体系建设，并通过强化内控管理与流程优化，有效应对合规层面的阶段性挑战，在电商渠道运营方面，品牌前期面临线上流量获取效率较低等市场环境制约，经调整运营策略，自3月起优化店铺直播模型，提升流量转化效能并实现单月盈利。基于阶段性运营成果，公司将持续聚焦电商渠道潜力释放，作为下半年 C 端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益生菌</w:t>
            </w:r>
            <w:r>
              <w:rPr>
                <w:rFonts w:hint="eastAsia"/>
                <w:iCs/>
                <w:color w:val="000000"/>
                <w:highlight w:val="none"/>
              </w:rPr>
              <w:t>业务增长的重要发力点。</w:t>
            </w:r>
          </w:p>
          <w:p w14:paraId="66658021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“每日博士”品牌将同步拓展多元化销售场景，也希望进入青岛利群、山姆等全国性及区域性优质渠道，通过差异化的产品组合与精准的消费群体触达</w:t>
            </w:r>
            <w:r>
              <w:rPr>
                <w:rFonts w:hint="default"/>
                <w:iCs/>
                <w:color w:val="000000"/>
                <w:highlight w:val="none"/>
              </w:rPr>
              <w:t>。</w:t>
            </w:r>
          </w:p>
          <w:p w14:paraId="55542B03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</w:rPr>
            </w:pPr>
          </w:p>
          <w:p w14:paraId="58CFE159">
            <w:pPr>
              <w:ind w:firstLine="482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4、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公司C端品牌</w:t>
            </w:r>
            <w:r>
              <w:rPr>
                <w:rFonts w:hint="eastAsia"/>
                <w:b/>
                <w:bCs/>
                <w:highlight w:val="none"/>
              </w:rPr>
              <w:t>线上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运营</w:t>
            </w:r>
            <w:r>
              <w:rPr>
                <w:rFonts w:hint="eastAsia"/>
                <w:b/>
                <w:bCs/>
                <w:highlight w:val="none"/>
              </w:rPr>
              <w:t>核心？</w:t>
            </w:r>
          </w:p>
          <w:p w14:paraId="1D5364B3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线上业务能否实现规模化运营，核心取决于数字化运营能力与流量效率管理水平。线上零售的本质是基于算法逻辑的流量博弈，品牌需精准把握流量生成逻辑、分发机制及成本结构，构建高效的流量运营模型。</w:t>
            </w:r>
          </w:p>
          <w:p w14:paraId="16910783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公司电商</w:t>
            </w:r>
            <w:r>
              <w:rPr>
                <w:rFonts w:hint="eastAsia"/>
                <w:iCs/>
                <w:color w:val="000000"/>
                <w:highlight w:val="none"/>
              </w:rPr>
              <w:t>运营团队具备独特优势：注重通过数据建模优化流量成本与转化效率，形成“技术逻辑 + 消费洞察” 双轮驱动的运营模式。这种差异化的能力结构，为品牌在电商平台的流量竞争中建立了独特的竞争壁垒。</w:t>
            </w:r>
          </w:p>
          <w:p w14:paraId="75D2E0AE">
            <w:pPr>
              <w:pStyle w:val="18"/>
              <w:tabs>
                <w:tab w:val="left" w:pos="462"/>
              </w:tabs>
              <w:ind w:left="0" w:leftChars="0" w:firstLine="0" w:firstLineChars="0"/>
              <w:rPr>
                <w:rFonts w:hint="eastAsia"/>
                <w:iCs/>
                <w:color w:val="000000"/>
                <w:highlight w:val="none"/>
              </w:rPr>
            </w:pPr>
          </w:p>
          <w:p w14:paraId="137EF558">
            <w:pPr>
              <w:pStyle w:val="18"/>
              <w:tabs>
                <w:tab w:val="left" w:pos="462"/>
              </w:tabs>
              <w:ind w:firstLine="482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5、今年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益生菌海外业务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关税窗口？</w:t>
            </w:r>
          </w:p>
          <w:p w14:paraId="2EE345B7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在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海外</w:t>
            </w:r>
            <w:r>
              <w:rPr>
                <w:rFonts w:hint="eastAsia"/>
                <w:iCs/>
                <w:color w:val="000000"/>
                <w:highlight w:val="none"/>
              </w:rPr>
              <w:t>市场整体布局方面，公司所涉产品线受关税政策调整的直接影响有限，主要品类适用的关税税率处于相对稳定的区间，且后续加征的多轮关税清单与公司现有业务关联性较低。公司将持续关注国际贸易环境变化，依托产品差异化优势与本地化运营能力，把握市场需求窗口期，推动海外业务的规模化布局与战略性增长。</w:t>
            </w:r>
          </w:p>
          <w:p w14:paraId="5D5D4376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</w:p>
          <w:p w14:paraId="0B7F12C4">
            <w:pPr>
              <w:pStyle w:val="18"/>
              <w:tabs>
                <w:tab w:val="left" w:pos="462"/>
              </w:tabs>
              <w:ind w:firstLine="482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6、公司推出助睡眠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的饮品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表现如何？</w:t>
            </w:r>
          </w:p>
          <w:p w14:paraId="0A9BF004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公司自主研发的助睡眠方向功能性产品，以创新组合形式构建差异化产品矩阵，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每日美梦（益生菌</w:t>
            </w:r>
            <w:r>
              <w:rPr>
                <w:rFonts w:hint="default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 xml:space="preserve">+gaba 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助眠成分助眠）、每日睛彩（益生菌</w:t>
            </w:r>
            <w:r>
              <w:rPr>
                <w:rFonts w:hint="default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叶黄素等护眼成分）已进入上海及华东等地区罗森系统和上海奥乐齐超市测试开始销售，</w:t>
            </w:r>
            <w:r>
              <w:rPr>
                <w:rFonts w:hint="eastAsia"/>
                <w:iCs/>
                <w:color w:val="000000"/>
                <w:highlight w:val="none"/>
              </w:rPr>
              <w:t>自上月启动市场投放以来，初步实现市场触达与消费群体渗透。从阶段性运营数据看，产品毛利水平保持在合理区间，后续将通过供应链优化与品类结构升级，推动毛利水平进一步优化提升。</w:t>
            </w:r>
          </w:p>
          <w:p w14:paraId="3D0F9E38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另在该功能领域的产品管线规划中，有几款储备产品处于上市筹备阶段，其中聚焦协同作用的创新配方，旨在通过多元成分复配拓展功能性饮品的消费场景边界，持续完善产品健康体系</w:t>
            </w:r>
            <w:r>
              <w:rPr>
                <w:rFonts w:hint="eastAsia"/>
                <w:iCs/>
                <w:color w:val="000000"/>
                <w:highlight w:val="none"/>
              </w:rPr>
              <w:t>。</w:t>
            </w:r>
          </w:p>
          <w:p w14:paraId="344040FC">
            <w:pPr>
              <w:tabs>
                <w:tab w:val="left" w:pos="4312"/>
              </w:tabs>
              <w:ind w:firstLine="0" w:firstLineChars="0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</w:rPr>
              <w:tab/>
            </w:r>
          </w:p>
          <w:p w14:paraId="5353AA4B">
            <w:pPr>
              <w:pStyle w:val="18"/>
              <w:numPr>
                <w:ilvl w:val="0"/>
                <w:numId w:val="0"/>
              </w:numPr>
              <w:tabs>
                <w:tab w:val="left" w:pos="462"/>
              </w:tabs>
              <w:ind w:left="480" w:left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7、公司对于饮品的展望如何？</w:t>
            </w:r>
          </w:p>
          <w:p w14:paraId="7736F504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近期，公司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功能性益生菌饮料</w:t>
            </w:r>
            <w:r>
              <w:rPr>
                <w:rFonts w:hint="eastAsia"/>
                <w:iCs/>
                <w:color w:val="000000"/>
                <w:highlight w:val="none"/>
              </w:rPr>
              <w:t>新品通过创新运营模式正式进驻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华东地区</w:t>
            </w:r>
            <w:r>
              <w:rPr>
                <w:rFonts w:hint="eastAsia"/>
                <w:iCs/>
                <w:color w:val="000000"/>
                <w:highlight w:val="none"/>
              </w:rPr>
              <w:t>罗森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便利店</w:t>
            </w:r>
            <w:r>
              <w:rPr>
                <w:rFonts w:hint="eastAsia"/>
                <w:iCs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上海奥乐齐</w:t>
            </w:r>
            <w:r>
              <w:rPr>
                <w:rFonts w:hint="eastAsia"/>
                <w:iCs/>
                <w:color w:val="000000"/>
                <w:highlight w:val="none"/>
              </w:rPr>
              <w:t>等渠道，作为阶段性市场测试的重要布局，首批产品将重点验证消费场景适配性与渠道协同效率，若市场反馈达到预期目标，公司将推动饮品业务向规模化、常态化方向发展。同时，第二批新品已进入研发储备阶段，待条件成熟后将有序推向市场。</w:t>
            </w:r>
          </w:p>
          <w:p w14:paraId="74FF748B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饮料板块作为公司多元化布局的重要方向，将通过精准的市场导入策略，在控制整体运营成本的前提下，逐步提升品类营收贡献。从盈利端看，公司将通过供应链协同优化、产品结构升级及渠道费用精细化管理，推动整体毛利率水平向行业领先区间迈进，确保核心业务单元的盈利能力持续增强，为全年利润目标的达成提供有力支撑</w:t>
            </w:r>
            <w:r>
              <w:rPr>
                <w:rFonts w:hint="eastAsia"/>
                <w:iCs/>
                <w:color w:val="000000"/>
                <w:highlight w:val="none"/>
              </w:rPr>
              <w:t>。</w:t>
            </w:r>
          </w:p>
          <w:p w14:paraId="136CA68B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在全国性渠道布局层面，公司前期已启动与主流连锁商超的入驻谈判工作，围绕阶段性目标节点推进线下网络覆盖，重点聚焦益生菌功能性饮品、低温活菌饮品等核心品类的渠道渗透率提升。</w:t>
            </w:r>
          </w:p>
          <w:p w14:paraId="09ABCB00">
            <w:pPr>
              <w:pStyle w:val="18"/>
              <w:tabs>
                <w:tab w:val="left" w:pos="462"/>
              </w:tabs>
              <w:ind w:firstLine="458" w:firstLineChars="191"/>
              <w:rPr>
                <w:rFonts w:hint="default"/>
                <w:iCs/>
                <w:color w:val="000000"/>
                <w:highlight w:val="none"/>
                <w:lang w:val="en-US" w:eastAsia="zh-CN"/>
              </w:rPr>
            </w:pPr>
          </w:p>
          <w:p w14:paraId="66707B74">
            <w:pPr>
              <w:pStyle w:val="18"/>
              <w:numPr>
                <w:ilvl w:val="0"/>
                <w:numId w:val="4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公司味动力老品的业绩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如何？</w:t>
            </w:r>
          </w:p>
          <w:p w14:paraId="14C1DE2F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公司传统产品线面临结构性市场压力，终端定价体系受市场同类产品价格策略调整影响，经历阶段性波动。公司通过优化渠道利润分配机制与产品价值传导体系，在维持核心品类毛利水平的同时，有效对冲外部竞争冲击，整体收入规模保持基本稳定。从 2025 年一季度经营情况看，受春节销售周期错期等因素影响，老产品营收呈现一定幅度的波动。</w:t>
            </w:r>
          </w:p>
          <w:p w14:paraId="56DB5BC1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  <w:t>味动力经典乳酸菌产品线近期推出芒果、蜜瓜等创新风味矩阵入驻青岛605家可好便利店，</w:t>
            </w:r>
            <w:r>
              <w:rPr>
                <w:rFonts w:hint="eastAsia"/>
                <w:iCs/>
                <w:color w:val="000000"/>
                <w:highlight w:val="none"/>
              </w:rPr>
              <w:t>公司依托原材料成本优化与精细化运营管理能力，在营收结构调整过程中实现利润端的正向改善，凸显成本管控效能与供应链韧性，为核心业务的可持续发展提供有力支撑。</w:t>
            </w:r>
          </w:p>
          <w:p w14:paraId="011FC986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</w:p>
          <w:p w14:paraId="1343AAC0">
            <w:pPr>
              <w:pStyle w:val="18"/>
              <w:numPr>
                <w:ilvl w:val="0"/>
                <w:numId w:val="4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益生菌行业在国外成熟吗？国外成熟市场的益生菌格局如何？</w:t>
            </w:r>
          </w:p>
          <w:p w14:paraId="04E294DE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益生菌行业在海外市场已形成成熟格局。以欧美为代表的市场起步早、技术成熟，消费习惯与国内存在显著差异，例如海外消费者更倾向于将益生菌作为日常保健品摄入</w:t>
            </w:r>
            <w:r>
              <w:rPr>
                <w:rFonts w:hint="eastAsia"/>
                <w:iCs/>
                <w:color w:val="000000"/>
                <w:highlight w:val="none"/>
                <w:lang w:eastAsia="zh-CN"/>
              </w:rPr>
              <w:t>。</w:t>
            </w:r>
            <w:r>
              <w:rPr>
                <w:rFonts w:hint="eastAsia"/>
                <w:iCs/>
                <w:color w:val="000000"/>
                <w:highlight w:val="none"/>
              </w:rPr>
              <w:t>市场竞争方面，国际巨头占据主导地位。丹麦科汉森与美国杜邦（丹尼斯克）凭借菌株专利、临床研究及规模化生产能力，长期垄断全球益生菌原料市场，尤其在发酵剂领域占据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龙头</w:t>
            </w:r>
            <w:r>
              <w:rPr>
                <w:rFonts w:hint="eastAsia"/>
                <w:iCs/>
                <w:color w:val="000000"/>
                <w:highlight w:val="none"/>
              </w:rPr>
              <w:t>地位。消费者层面，其对产品有效性的关注度较高，国际头部企业通过发表科研论文、建立临床数据等方式强化产品信任度。</w:t>
            </w:r>
          </w:p>
          <w:p w14:paraId="2B522E93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highlight w:val="none"/>
              </w:rPr>
            </w:pPr>
            <w:r>
              <w:rPr>
                <w:rFonts w:hint="eastAsia"/>
                <w:iCs/>
                <w:color w:val="000000"/>
                <w:highlight w:val="none"/>
              </w:rPr>
              <w:t>子公司均瑶润盈作为亚洲大型益生菌生产基地，已拥有 30,000余株菌种资源库，技术水平对标国际头部企业，基于二十余年菌株研究积淀，形成从菌株研发到终端产品的全产业链布局。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公司</w:t>
            </w:r>
            <w:r>
              <w:rPr>
                <w:rFonts w:hint="eastAsia"/>
                <w:iCs/>
                <w:color w:val="000000"/>
                <w:highlight w:val="none"/>
              </w:rPr>
              <w:t>建立 “六钻益生菌” 选菌标准，并推出覆盖肠胃健康、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体重管理、</w:t>
            </w:r>
            <w:r>
              <w:rPr>
                <w:rFonts w:hint="eastAsia"/>
                <w:iCs/>
                <w:color w:val="000000"/>
                <w:highlight w:val="none"/>
              </w:rPr>
              <w:t>口腔护理等功能的复合菌粉配方，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以覆盖更广泛消费群体。</w:t>
            </w:r>
            <w:bookmarkStart w:id="0" w:name="_GoBack"/>
            <w:bookmarkEnd w:id="0"/>
          </w:p>
        </w:tc>
      </w:tr>
      <w:tr w14:paraId="3C8F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AF95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附件清单（如有）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BA39">
            <w:pPr>
              <w:spacing w:line="480" w:lineRule="atLeast"/>
              <w:ind w:firstLine="480"/>
              <w:rPr>
                <w:bCs/>
                <w:iCs/>
                <w:color w:val="000000"/>
                <w:highlight w:val="none"/>
              </w:rPr>
            </w:pPr>
          </w:p>
        </w:tc>
      </w:tr>
    </w:tbl>
    <w:p w14:paraId="561BED6F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21772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3955C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80B4B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0017F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88A4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F0B9C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82C83"/>
    <w:multiLevelType w:val="singleLevel"/>
    <w:tmpl w:val="A2982C83"/>
    <w:lvl w:ilvl="0" w:tentative="0">
      <w:start w:val="8"/>
      <w:numFmt w:val="decimal"/>
      <w:suff w:val="nothing"/>
      <w:lvlText w:val="%1、"/>
      <w:lvlJc w:val="left"/>
      <w:pPr>
        <w:ind w:left="20"/>
      </w:pPr>
    </w:lvl>
  </w:abstractNum>
  <w:abstractNum w:abstractNumId="1">
    <w:nsid w:val="D11D457F"/>
    <w:multiLevelType w:val="singleLevel"/>
    <w:tmpl w:val="D11D45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CB3E48"/>
    <w:multiLevelType w:val="multilevel"/>
    <w:tmpl w:val="6ECB3E48"/>
    <w:lvl w:ilvl="0" w:tentative="0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422E1"/>
    <w:multiLevelType w:val="multilevel"/>
    <w:tmpl w:val="77F422E1"/>
    <w:lvl w:ilvl="0" w:tentative="0">
      <w:start w:val="1"/>
      <w:numFmt w:val="decimal"/>
      <w:lvlText w:val="%1、"/>
      <w:lvlJc w:val="left"/>
      <w:pPr>
        <w:ind w:left="842" w:hanging="360"/>
      </w:pPr>
      <w:rPr>
        <w:rFonts w:hint="eastAsia"/>
        <w:b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DI3NTJlZDMyYjQwMGQ1MGJiYjc0OWE2OGU4YmYifQ=="/>
  </w:docVars>
  <w:rsids>
    <w:rsidRoot w:val="00084F2C"/>
    <w:rsid w:val="00001CBC"/>
    <w:rsid w:val="0001073B"/>
    <w:rsid w:val="00014B6D"/>
    <w:rsid w:val="00021890"/>
    <w:rsid w:val="00021B3C"/>
    <w:rsid w:val="00031C3C"/>
    <w:rsid w:val="000352EB"/>
    <w:rsid w:val="00036DDC"/>
    <w:rsid w:val="000372B0"/>
    <w:rsid w:val="000377CD"/>
    <w:rsid w:val="000441BF"/>
    <w:rsid w:val="00052EC6"/>
    <w:rsid w:val="00057ACE"/>
    <w:rsid w:val="00063866"/>
    <w:rsid w:val="000651FA"/>
    <w:rsid w:val="00073AC8"/>
    <w:rsid w:val="00077630"/>
    <w:rsid w:val="00081BEF"/>
    <w:rsid w:val="00084F2C"/>
    <w:rsid w:val="00091C67"/>
    <w:rsid w:val="00094CEC"/>
    <w:rsid w:val="00097A04"/>
    <w:rsid w:val="000A44E4"/>
    <w:rsid w:val="000A56C4"/>
    <w:rsid w:val="000B2B5A"/>
    <w:rsid w:val="000C0E70"/>
    <w:rsid w:val="000C20C0"/>
    <w:rsid w:val="000C33A3"/>
    <w:rsid w:val="000C37C5"/>
    <w:rsid w:val="000C3D57"/>
    <w:rsid w:val="000C46DF"/>
    <w:rsid w:val="000D207A"/>
    <w:rsid w:val="000D4D3B"/>
    <w:rsid w:val="000E7295"/>
    <w:rsid w:val="000F476A"/>
    <w:rsid w:val="001059AE"/>
    <w:rsid w:val="00110E7D"/>
    <w:rsid w:val="00127912"/>
    <w:rsid w:val="001358B9"/>
    <w:rsid w:val="00140C04"/>
    <w:rsid w:val="00146610"/>
    <w:rsid w:val="00151112"/>
    <w:rsid w:val="0015561F"/>
    <w:rsid w:val="00156A1D"/>
    <w:rsid w:val="001618A3"/>
    <w:rsid w:val="00166122"/>
    <w:rsid w:val="00167860"/>
    <w:rsid w:val="001749C5"/>
    <w:rsid w:val="00176DC1"/>
    <w:rsid w:val="001770B9"/>
    <w:rsid w:val="0018618C"/>
    <w:rsid w:val="00191F63"/>
    <w:rsid w:val="001B07AF"/>
    <w:rsid w:val="001B3AC5"/>
    <w:rsid w:val="001B45AB"/>
    <w:rsid w:val="001B4B8D"/>
    <w:rsid w:val="001C45E1"/>
    <w:rsid w:val="001E035F"/>
    <w:rsid w:val="001E2303"/>
    <w:rsid w:val="00210A61"/>
    <w:rsid w:val="00211FF4"/>
    <w:rsid w:val="002137E1"/>
    <w:rsid w:val="002148DC"/>
    <w:rsid w:val="0021611F"/>
    <w:rsid w:val="00216AC0"/>
    <w:rsid w:val="00216BEC"/>
    <w:rsid w:val="00217898"/>
    <w:rsid w:val="00217F01"/>
    <w:rsid w:val="00223D42"/>
    <w:rsid w:val="0022479A"/>
    <w:rsid w:val="002308D2"/>
    <w:rsid w:val="00230EC6"/>
    <w:rsid w:val="002322C7"/>
    <w:rsid w:val="00236D81"/>
    <w:rsid w:val="00240F43"/>
    <w:rsid w:val="002430D3"/>
    <w:rsid w:val="0024589F"/>
    <w:rsid w:val="00250B1C"/>
    <w:rsid w:val="00254F21"/>
    <w:rsid w:val="00260CB5"/>
    <w:rsid w:val="00261B15"/>
    <w:rsid w:val="00261F38"/>
    <w:rsid w:val="00263EF0"/>
    <w:rsid w:val="00267F08"/>
    <w:rsid w:val="00267F4E"/>
    <w:rsid w:val="002700FD"/>
    <w:rsid w:val="00275A8F"/>
    <w:rsid w:val="00277CB6"/>
    <w:rsid w:val="0028791E"/>
    <w:rsid w:val="002906E5"/>
    <w:rsid w:val="00293B51"/>
    <w:rsid w:val="002A0DC6"/>
    <w:rsid w:val="002B365A"/>
    <w:rsid w:val="002B7808"/>
    <w:rsid w:val="002C61DC"/>
    <w:rsid w:val="002E59F7"/>
    <w:rsid w:val="002F1373"/>
    <w:rsid w:val="002F3C3C"/>
    <w:rsid w:val="002F69F0"/>
    <w:rsid w:val="00300676"/>
    <w:rsid w:val="00303FD7"/>
    <w:rsid w:val="003053CA"/>
    <w:rsid w:val="00307D54"/>
    <w:rsid w:val="0031351F"/>
    <w:rsid w:val="00324026"/>
    <w:rsid w:val="00327184"/>
    <w:rsid w:val="0033523D"/>
    <w:rsid w:val="003378E6"/>
    <w:rsid w:val="0034209A"/>
    <w:rsid w:val="0034681C"/>
    <w:rsid w:val="00346C42"/>
    <w:rsid w:val="00350F53"/>
    <w:rsid w:val="00361A7D"/>
    <w:rsid w:val="00371E87"/>
    <w:rsid w:val="00372343"/>
    <w:rsid w:val="00382FDC"/>
    <w:rsid w:val="0039791B"/>
    <w:rsid w:val="003A7539"/>
    <w:rsid w:val="003B09A4"/>
    <w:rsid w:val="003B32DA"/>
    <w:rsid w:val="003B4FF6"/>
    <w:rsid w:val="003D023F"/>
    <w:rsid w:val="003D19D8"/>
    <w:rsid w:val="003E2D86"/>
    <w:rsid w:val="003F1A52"/>
    <w:rsid w:val="003F4ACD"/>
    <w:rsid w:val="00401079"/>
    <w:rsid w:val="00403789"/>
    <w:rsid w:val="00404338"/>
    <w:rsid w:val="00407621"/>
    <w:rsid w:val="00407F3A"/>
    <w:rsid w:val="00410604"/>
    <w:rsid w:val="00411D83"/>
    <w:rsid w:val="00413449"/>
    <w:rsid w:val="00422FAE"/>
    <w:rsid w:val="00424FF7"/>
    <w:rsid w:val="004274BF"/>
    <w:rsid w:val="00427E4C"/>
    <w:rsid w:val="004349B7"/>
    <w:rsid w:val="00447095"/>
    <w:rsid w:val="004545DA"/>
    <w:rsid w:val="00487EFF"/>
    <w:rsid w:val="00490B57"/>
    <w:rsid w:val="00491251"/>
    <w:rsid w:val="00494643"/>
    <w:rsid w:val="004979AF"/>
    <w:rsid w:val="004B0349"/>
    <w:rsid w:val="004B3CD5"/>
    <w:rsid w:val="004C2E2B"/>
    <w:rsid w:val="004D3830"/>
    <w:rsid w:val="004D3A97"/>
    <w:rsid w:val="004D7AC6"/>
    <w:rsid w:val="004E45ED"/>
    <w:rsid w:val="004E59E2"/>
    <w:rsid w:val="004F00AC"/>
    <w:rsid w:val="0050527B"/>
    <w:rsid w:val="00517BAD"/>
    <w:rsid w:val="00521E7E"/>
    <w:rsid w:val="005228C4"/>
    <w:rsid w:val="00523372"/>
    <w:rsid w:val="005238EE"/>
    <w:rsid w:val="00524815"/>
    <w:rsid w:val="00527728"/>
    <w:rsid w:val="00530DB9"/>
    <w:rsid w:val="005371BC"/>
    <w:rsid w:val="00541B5F"/>
    <w:rsid w:val="00543ED1"/>
    <w:rsid w:val="0055069A"/>
    <w:rsid w:val="00562AB0"/>
    <w:rsid w:val="00565704"/>
    <w:rsid w:val="00570026"/>
    <w:rsid w:val="0057603A"/>
    <w:rsid w:val="00580BA2"/>
    <w:rsid w:val="00580FF4"/>
    <w:rsid w:val="005820D8"/>
    <w:rsid w:val="005862D7"/>
    <w:rsid w:val="005879FF"/>
    <w:rsid w:val="005907B8"/>
    <w:rsid w:val="0059415F"/>
    <w:rsid w:val="00597893"/>
    <w:rsid w:val="005A447B"/>
    <w:rsid w:val="005A455B"/>
    <w:rsid w:val="005A7609"/>
    <w:rsid w:val="005B1E3E"/>
    <w:rsid w:val="005B57E0"/>
    <w:rsid w:val="005C624F"/>
    <w:rsid w:val="005D0B39"/>
    <w:rsid w:val="005D6E99"/>
    <w:rsid w:val="005E18EC"/>
    <w:rsid w:val="005E7783"/>
    <w:rsid w:val="00601DDD"/>
    <w:rsid w:val="006054B1"/>
    <w:rsid w:val="0060553B"/>
    <w:rsid w:val="00615F8E"/>
    <w:rsid w:val="00625E5D"/>
    <w:rsid w:val="00634E33"/>
    <w:rsid w:val="006443D3"/>
    <w:rsid w:val="00646F2E"/>
    <w:rsid w:val="006472B8"/>
    <w:rsid w:val="00647899"/>
    <w:rsid w:val="006523CF"/>
    <w:rsid w:val="00664935"/>
    <w:rsid w:val="00665708"/>
    <w:rsid w:val="006850BC"/>
    <w:rsid w:val="00686E28"/>
    <w:rsid w:val="00691096"/>
    <w:rsid w:val="00692200"/>
    <w:rsid w:val="006A0D14"/>
    <w:rsid w:val="006A132A"/>
    <w:rsid w:val="006A1AD3"/>
    <w:rsid w:val="006A7E2C"/>
    <w:rsid w:val="006B3AEF"/>
    <w:rsid w:val="006C2229"/>
    <w:rsid w:val="006C6349"/>
    <w:rsid w:val="006C655D"/>
    <w:rsid w:val="006D1E0D"/>
    <w:rsid w:val="006D5489"/>
    <w:rsid w:val="006E64EE"/>
    <w:rsid w:val="006E7A55"/>
    <w:rsid w:val="006F12C8"/>
    <w:rsid w:val="006F319A"/>
    <w:rsid w:val="006F4584"/>
    <w:rsid w:val="006F700D"/>
    <w:rsid w:val="006F7102"/>
    <w:rsid w:val="0070273B"/>
    <w:rsid w:val="00702A89"/>
    <w:rsid w:val="0070451C"/>
    <w:rsid w:val="0071445C"/>
    <w:rsid w:val="00743470"/>
    <w:rsid w:val="00745456"/>
    <w:rsid w:val="007474BB"/>
    <w:rsid w:val="00747517"/>
    <w:rsid w:val="007506A5"/>
    <w:rsid w:val="00752783"/>
    <w:rsid w:val="00767EA5"/>
    <w:rsid w:val="00770B00"/>
    <w:rsid w:val="0077151A"/>
    <w:rsid w:val="00773EA8"/>
    <w:rsid w:val="0078601C"/>
    <w:rsid w:val="00790954"/>
    <w:rsid w:val="007A03A8"/>
    <w:rsid w:val="007A3346"/>
    <w:rsid w:val="007A60D8"/>
    <w:rsid w:val="007B74E1"/>
    <w:rsid w:val="007D0BD7"/>
    <w:rsid w:val="007D200D"/>
    <w:rsid w:val="007D2FC6"/>
    <w:rsid w:val="007D30E6"/>
    <w:rsid w:val="007E3473"/>
    <w:rsid w:val="007E508A"/>
    <w:rsid w:val="007E559E"/>
    <w:rsid w:val="007F26B6"/>
    <w:rsid w:val="007F38B0"/>
    <w:rsid w:val="007F398C"/>
    <w:rsid w:val="007F697F"/>
    <w:rsid w:val="00813F62"/>
    <w:rsid w:val="00814C6A"/>
    <w:rsid w:val="008150FB"/>
    <w:rsid w:val="00815104"/>
    <w:rsid w:val="00816C66"/>
    <w:rsid w:val="00822949"/>
    <w:rsid w:val="00826434"/>
    <w:rsid w:val="00830F62"/>
    <w:rsid w:val="00834DFC"/>
    <w:rsid w:val="00841A72"/>
    <w:rsid w:val="00845315"/>
    <w:rsid w:val="00850E94"/>
    <w:rsid w:val="00860CC1"/>
    <w:rsid w:val="00863156"/>
    <w:rsid w:val="008659E4"/>
    <w:rsid w:val="00867B21"/>
    <w:rsid w:val="0087133E"/>
    <w:rsid w:val="00882929"/>
    <w:rsid w:val="008959FE"/>
    <w:rsid w:val="008A05BE"/>
    <w:rsid w:val="008A4B0B"/>
    <w:rsid w:val="008A71F9"/>
    <w:rsid w:val="008D22FB"/>
    <w:rsid w:val="008D3C48"/>
    <w:rsid w:val="008E13B2"/>
    <w:rsid w:val="008E16F2"/>
    <w:rsid w:val="008E6536"/>
    <w:rsid w:val="008F14F8"/>
    <w:rsid w:val="008F2B28"/>
    <w:rsid w:val="008F2DA5"/>
    <w:rsid w:val="008F56D8"/>
    <w:rsid w:val="009174E1"/>
    <w:rsid w:val="00920E49"/>
    <w:rsid w:val="0092394A"/>
    <w:rsid w:val="009240CE"/>
    <w:rsid w:val="009321B3"/>
    <w:rsid w:val="00932231"/>
    <w:rsid w:val="00932A46"/>
    <w:rsid w:val="0093743A"/>
    <w:rsid w:val="00947FE4"/>
    <w:rsid w:val="009519C6"/>
    <w:rsid w:val="00956CB0"/>
    <w:rsid w:val="00956FED"/>
    <w:rsid w:val="00966022"/>
    <w:rsid w:val="0097677A"/>
    <w:rsid w:val="00987765"/>
    <w:rsid w:val="009959D7"/>
    <w:rsid w:val="0099763F"/>
    <w:rsid w:val="009A198B"/>
    <w:rsid w:val="009A1C3B"/>
    <w:rsid w:val="009B2DC9"/>
    <w:rsid w:val="009B5720"/>
    <w:rsid w:val="009B645C"/>
    <w:rsid w:val="009C65E1"/>
    <w:rsid w:val="009D13E4"/>
    <w:rsid w:val="009E18EA"/>
    <w:rsid w:val="009E22EF"/>
    <w:rsid w:val="009E2BDF"/>
    <w:rsid w:val="009E492B"/>
    <w:rsid w:val="009F0E76"/>
    <w:rsid w:val="00A05538"/>
    <w:rsid w:val="00A15357"/>
    <w:rsid w:val="00A17473"/>
    <w:rsid w:val="00A23A96"/>
    <w:rsid w:val="00A251BF"/>
    <w:rsid w:val="00A32380"/>
    <w:rsid w:val="00A32401"/>
    <w:rsid w:val="00A51850"/>
    <w:rsid w:val="00A536D1"/>
    <w:rsid w:val="00A609ED"/>
    <w:rsid w:val="00A65CCD"/>
    <w:rsid w:val="00A67F3E"/>
    <w:rsid w:val="00A73F2E"/>
    <w:rsid w:val="00A74949"/>
    <w:rsid w:val="00A812FD"/>
    <w:rsid w:val="00A84AE4"/>
    <w:rsid w:val="00AA41B1"/>
    <w:rsid w:val="00AA76C7"/>
    <w:rsid w:val="00AC5D07"/>
    <w:rsid w:val="00AC71AC"/>
    <w:rsid w:val="00AC72E5"/>
    <w:rsid w:val="00AD6E89"/>
    <w:rsid w:val="00AE05DA"/>
    <w:rsid w:val="00AE5BF9"/>
    <w:rsid w:val="00AF1CFE"/>
    <w:rsid w:val="00AF66E8"/>
    <w:rsid w:val="00B06799"/>
    <w:rsid w:val="00B077CA"/>
    <w:rsid w:val="00B078CD"/>
    <w:rsid w:val="00B117E8"/>
    <w:rsid w:val="00B13E91"/>
    <w:rsid w:val="00B2003E"/>
    <w:rsid w:val="00B2044E"/>
    <w:rsid w:val="00B20B70"/>
    <w:rsid w:val="00B22DF0"/>
    <w:rsid w:val="00B23014"/>
    <w:rsid w:val="00B368C4"/>
    <w:rsid w:val="00B43130"/>
    <w:rsid w:val="00B45E9F"/>
    <w:rsid w:val="00B469F8"/>
    <w:rsid w:val="00B52D0D"/>
    <w:rsid w:val="00B66B06"/>
    <w:rsid w:val="00B777FE"/>
    <w:rsid w:val="00B82AA0"/>
    <w:rsid w:val="00B85CA8"/>
    <w:rsid w:val="00B87470"/>
    <w:rsid w:val="00B91E36"/>
    <w:rsid w:val="00B948E2"/>
    <w:rsid w:val="00B965CC"/>
    <w:rsid w:val="00BA7426"/>
    <w:rsid w:val="00BB40EB"/>
    <w:rsid w:val="00BB579F"/>
    <w:rsid w:val="00BC23FE"/>
    <w:rsid w:val="00BC2712"/>
    <w:rsid w:val="00BD1509"/>
    <w:rsid w:val="00BE5B68"/>
    <w:rsid w:val="00C0041D"/>
    <w:rsid w:val="00C02E26"/>
    <w:rsid w:val="00C12A4B"/>
    <w:rsid w:val="00C22B53"/>
    <w:rsid w:val="00C24C02"/>
    <w:rsid w:val="00C267CD"/>
    <w:rsid w:val="00C27928"/>
    <w:rsid w:val="00C27AA0"/>
    <w:rsid w:val="00C40FCD"/>
    <w:rsid w:val="00C4183E"/>
    <w:rsid w:val="00C56D35"/>
    <w:rsid w:val="00C8048F"/>
    <w:rsid w:val="00C86C9D"/>
    <w:rsid w:val="00C904BA"/>
    <w:rsid w:val="00C91F00"/>
    <w:rsid w:val="00CA506E"/>
    <w:rsid w:val="00CB0988"/>
    <w:rsid w:val="00CB5DD9"/>
    <w:rsid w:val="00CC3BD4"/>
    <w:rsid w:val="00CC5775"/>
    <w:rsid w:val="00CE2DD9"/>
    <w:rsid w:val="00CE5600"/>
    <w:rsid w:val="00CF4AF5"/>
    <w:rsid w:val="00D21A8F"/>
    <w:rsid w:val="00D274D9"/>
    <w:rsid w:val="00D32C35"/>
    <w:rsid w:val="00D45042"/>
    <w:rsid w:val="00D5688F"/>
    <w:rsid w:val="00D56C57"/>
    <w:rsid w:val="00D6010D"/>
    <w:rsid w:val="00D6121B"/>
    <w:rsid w:val="00D61969"/>
    <w:rsid w:val="00D653DC"/>
    <w:rsid w:val="00D72395"/>
    <w:rsid w:val="00D73BD5"/>
    <w:rsid w:val="00D74531"/>
    <w:rsid w:val="00D77555"/>
    <w:rsid w:val="00D77869"/>
    <w:rsid w:val="00D77D70"/>
    <w:rsid w:val="00D84984"/>
    <w:rsid w:val="00D91173"/>
    <w:rsid w:val="00D96F5E"/>
    <w:rsid w:val="00DA1D5C"/>
    <w:rsid w:val="00DA3062"/>
    <w:rsid w:val="00DA3A8E"/>
    <w:rsid w:val="00DB2245"/>
    <w:rsid w:val="00DB791E"/>
    <w:rsid w:val="00DD1683"/>
    <w:rsid w:val="00DD4EF9"/>
    <w:rsid w:val="00DE0F72"/>
    <w:rsid w:val="00DE1CB3"/>
    <w:rsid w:val="00DE7051"/>
    <w:rsid w:val="00DF3130"/>
    <w:rsid w:val="00DF3691"/>
    <w:rsid w:val="00E03298"/>
    <w:rsid w:val="00E04886"/>
    <w:rsid w:val="00E07F32"/>
    <w:rsid w:val="00E15B48"/>
    <w:rsid w:val="00E1681E"/>
    <w:rsid w:val="00E17CF2"/>
    <w:rsid w:val="00E200E0"/>
    <w:rsid w:val="00E226A7"/>
    <w:rsid w:val="00E23B0C"/>
    <w:rsid w:val="00E27CD9"/>
    <w:rsid w:val="00E30054"/>
    <w:rsid w:val="00E30DAE"/>
    <w:rsid w:val="00E4211C"/>
    <w:rsid w:val="00E6543F"/>
    <w:rsid w:val="00E71F0B"/>
    <w:rsid w:val="00E82FFC"/>
    <w:rsid w:val="00E83B9F"/>
    <w:rsid w:val="00E8542A"/>
    <w:rsid w:val="00E91974"/>
    <w:rsid w:val="00E96D10"/>
    <w:rsid w:val="00E97645"/>
    <w:rsid w:val="00EA0EBF"/>
    <w:rsid w:val="00EA2D59"/>
    <w:rsid w:val="00EA7737"/>
    <w:rsid w:val="00EB6D8B"/>
    <w:rsid w:val="00EC0BB4"/>
    <w:rsid w:val="00EC2EED"/>
    <w:rsid w:val="00EC6707"/>
    <w:rsid w:val="00EC7367"/>
    <w:rsid w:val="00ED0F44"/>
    <w:rsid w:val="00ED1EEB"/>
    <w:rsid w:val="00EE0118"/>
    <w:rsid w:val="00EE2795"/>
    <w:rsid w:val="00EE3A6C"/>
    <w:rsid w:val="00EF3C20"/>
    <w:rsid w:val="00EF514E"/>
    <w:rsid w:val="00EF564D"/>
    <w:rsid w:val="00F027DD"/>
    <w:rsid w:val="00F0607A"/>
    <w:rsid w:val="00F062FD"/>
    <w:rsid w:val="00F07C33"/>
    <w:rsid w:val="00F16201"/>
    <w:rsid w:val="00F17E36"/>
    <w:rsid w:val="00F20F2C"/>
    <w:rsid w:val="00F2782E"/>
    <w:rsid w:val="00F338B6"/>
    <w:rsid w:val="00F367F2"/>
    <w:rsid w:val="00F42785"/>
    <w:rsid w:val="00F451C5"/>
    <w:rsid w:val="00F60837"/>
    <w:rsid w:val="00F63ABD"/>
    <w:rsid w:val="00F73320"/>
    <w:rsid w:val="00F858E9"/>
    <w:rsid w:val="00F94D06"/>
    <w:rsid w:val="00FB4910"/>
    <w:rsid w:val="00FC546B"/>
    <w:rsid w:val="00FC6BD6"/>
    <w:rsid w:val="00FD4768"/>
    <w:rsid w:val="00FD499A"/>
    <w:rsid w:val="00FE2DBD"/>
    <w:rsid w:val="00FE4193"/>
    <w:rsid w:val="00FF2529"/>
    <w:rsid w:val="013637D1"/>
    <w:rsid w:val="01F4007C"/>
    <w:rsid w:val="02094A42"/>
    <w:rsid w:val="03BF360D"/>
    <w:rsid w:val="03C57CF9"/>
    <w:rsid w:val="041D2A27"/>
    <w:rsid w:val="042C2C6A"/>
    <w:rsid w:val="04FC007E"/>
    <w:rsid w:val="0543026B"/>
    <w:rsid w:val="05573D16"/>
    <w:rsid w:val="06840B3B"/>
    <w:rsid w:val="06B37672"/>
    <w:rsid w:val="06EC66E0"/>
    <w:rsid w:val="07683FB9"/>
    <w:rsid w:val="07DD40F6"/>
    <w:rsid w:val="081A6EF3"/>
    <w:rsid w:val="08B1373D"/>
    <w:rsid w:val="08E12275"/>
    <w:rsid w:val="091A6C9B"/>
    <w:rsid w:val="0A762E91"/>
    <w:rsid w:val="0A8E01DA"/>
    <w:rsid w:val="0A9D21CB"/>
    <w:rsid w:val="0B3B3792"/>
    <w:rsid w:val="0BA23811"/>
    <w:rsid w:val="0C032502"/>
    <w:rsid w:val="0C160487"/>
    <w:rsid w:val="0D8E229F"/>
    <w:rsid w:val="0DE6751E"/>
    <w:rsid w:val="0E0B38F0"/>
    <w:rsid w:val="0F0F7410"/>
    <w:rsid w:val="0FB75ADD"/>
    <w:rsid w:val="0FC63F72"/>
    <w:rsid w:val="106043C7"/>
    <w:rsid w:val="106A362C"/>
    <w:rsid w:val="108720BF"/>
    <w:rsid w:val="10B63FE7"/>
    <w:rsid w:val="10BC5375"/>
    <w:rsid w:val="11360C84"/>
    <w:rsid w:val="11621A79"/>
    <w:rsid w:val="118916FB"/>
    <w:rsid w:val="121A2353"/>
    <w:rsid w:val="126A4CCD"/>
    <w:rsid w:val="12CF6026"/>
    <w:rsid w:val="12DF75A8"/>
    <w:rsid w:val="1369653F"/>
    <w:rsid w:val="136A10B9"/>
    <w:rsid w:val="137361BF"/>
    <w:rsid w:val="13857CA0"/>
    <w:rsid w:val="15595889"/>
    <w:rsid w:val="15AE1730"/>
    <w:rsid w:val="162E461F"/>
    <w:rsid w:val="16B20004"/>
    <w:rsid w:val="17155AED"/>
    <w:rsid w:val="17683B61"/>
    <w:rsid w:val="179662E5"/>
    <w:rsid w:val="17BD3EAD"/>
    <w:rsid w:val="180E4708"/>
    <w:rsid w:val="18492666"/>
    <w:rsid w:val="185A794E"/>
    <w:rsid w:val="18AC5CCF"/>
    <w:rsid w:val="18D45952"/>
    <w:rsid w:val="191E4E1F"/>
    <w:rsid w:val="192B3098"/>
    <w:rsid w:val="19581961"/>
    <w:rsid w:val="1A6A7BF0"/>
    <w:rsid w:val="1ADC6D40"/>
    <w:rsid w:val="1B302BE8"/>
    <w:rsid w:val="1B486183"/>
    <w:rsid w:val="1BDE43F2"/>
    <w:rsid w:val="1C0F0A4F"/>
    <w:rsid w:val="1C694603"/>
    <w:rsid w:val="1CE27F12"/>
    <w:rsid w:val="1D0936F0"/>
    <w:rsid w:val="1D76400B"/>
    <w:rsid w:val="1DB95116"/>
    <w:rsid w:val="1DE32193"/>
    <w:rsid w:val="1E4C5F8A"/>
    <w:rsid w:val="1E7718AA"/>
    <w:rsid w:val="1F0E3240"/>
    <w:rsid w:val="1F220A99"/>
    <w:rsid w:val="1F3D58D3"/>
    <w:rsid w:val="1FE4496A"/>
    <w:rsid w:val="20016901"/>
    <w:rsid w:val="20876202"/>
    <w:rsid w:val="20FF5536"/>
    <w:rsid w:val="22260612"/>
    <w:rsid w:val="22BE4F7D"/>
    <w:rsid w:val="2366189C"/>
    <w:rsid w:val="23B243EB"/>
    <w:rsid w:val="2403533D"/>
    <w:rsid w:val="24C90335"/>
    <w:rsid w:val="24ED38F7"/>
    <w:rsid w:val="24EF5C02"/>
    <w:rsid w:val="256242E5"/>
    <w:rsid w:val="258E7747"/>
    <w:rsid w:val="25981AB5"/>
    <w:rsid w:val="25B47DD7"/>
    <w:rsid w:val="26154EB4"/>
    <w:rsid w:val="2714160F"/>
    <w:rsid w:val="277F13CF"/>
    <w:rsid w:val="283755B5"/>
    <w:rsid w:val="28481571"/>
    <w:rsid w:val="285E4FCC"/>
    <w:rsid w:val="28A703BF"/>
    <w:rsid w:val="29736AC1"/>
    <w:rsid w:val="29E97345"/>
    <w:rsid w:val="29F51284"/>
    <w:rsid w:val="2A0E2346"/>
    <w:rsid w:val="2A8F5E5D"/>
    <w:rsid w:val="2B0F6376"/>
    <w:rsid w:val="2B944ACD"/>
    <w:rsid w:val="2C1874AC"/>
    <w:rsid w:val="2C251BC9"/>
    <w:rsid w:val="2C536736"/>
    <w:rsid w:val="2D157E8F"/>
    <w:rsid w:val="2D1E0AF2"/>
    <w:rsid w:val="2D6C5D01"/>
    <w:rsid w:val="2DFC020A"/>
    <w:rsid w:val="2E00644A"/>
    <w:rsid w:val="2E15798A"/>
    <w:rsid w:val="2F8C7AEC"/>
    <w:rsid w:val="2F975483"/>
    <w:rsid w:val="2FAD43AF"/>
    <w:rsid w:val="30FA1876"/>
    <w:rsid w:val="31280191"/>
    <w:rsid w:val="31E85B72"/>
    <w:rsid w:val="32244DFC"/>
    <w:rsid w:val="325925CC"/>
    <w:rsid w:val="32943604"/>
    <w:rsid w:val="32981347"/>
    <w:rsid w:val="32FF3876"/>
    <w:rsid w:val="33260700"/>
    <w:rsid w:val="33274478"/>
    <w:rsid w:val="335C4122"/>
    <w:rsid w:val="337C2A16"/>
    <w:rsid w:val="33835B53"/>
    <w:rsid w:val="33B94A7C"/>
    <w:rsid w:val="33BB353F"/>
    <w:rsid w:val="33F26834"/>
    <w:rsid w:val="34AC732B"/>
    <w:rsid w:val="34B00BC9"/>
    <w:rsid w:val="34CF6B76"/>
    <w:rsid w:val="355754E9"/>
    <w:rsid w:val="360A473D"/>
    <w:rsid w:val="375C6562"/>
    <w:rsid w:val="37744ABB"/>
    <w:rsid w:val="38080D1C"/>
    <w:rsid w:val="38082ACA"/>
    <w:rsid w:val="38B62526"/>
    <w:rsid w:val="391159AF"/>
    <w:rsid w:val="398E6FFF"/>
    <w:rsid w:val="39F07CBA"/>
    <w:rsid w:val="3B4E4C98"/>
    <w:rsid w:val="3B5F14D7"/>
    <w:rsid w:val="3B7364AD"/>
    <w:rsid w:val="3C371BD0"/>
    <w:rsid w:val="3C964B49"/>
    <w:rsid w:val="3CFF6597"/>
    <w:rsid w:val="3D485717"/>
    <w:rsid w:val="3E102EEA"/>
    <w:rsid w:val="3E133F77"/>
    <w:rsid w:val="3E3F4D6C"/>
    <w:rsid w:val="3E730B9E"/>
    <w:rsid w:val="3EAD1CD6"/>
    <w:rsid w:val="3EE66096"/>
    <w:rsid w:val="3F285800"/>
    <w:rsid w:val="3FA56E51"/>
    <w:rsid w:val="3FDD2A8F"/>
    <w:rsid w:val="403F208D"/>
    <w:rsid w:val="40730CFD"/>
    <w:rsid w:val="40BC7839"/>
    <w:rsid w:val="41002D20"/>
    <w:rsid w:val="412D10FA"/>
    <w:rsid w:val="413761CE"/>
    <w:rsid w:val="41EC6FB9"/>
    <w:rsid w:val="42156510"/>
    <w:rsid w:val="423B2E21"/>
    <w:rsid w:val="42424E2B"/>
    <w:rsid w:val="42756FAE"/>
    <w:rsid w:val="42A67168"/>
    <w:rsid w:val="43B65AD0"/>
    <w:rsid w:val="443F1622"/>
    <w:rsid w:val="456B6447"/>
    <w:rsid w:val="45DB537A"/>
    <w:rsid w:val="46686C15"/>
    <w:rsid w:val="47462CC7"/>
    <w:rsid w:val="476A10AC"/>
    <w:rsid w:val="47B265AF"/>
    <w:rsid w:val="47D12ED9"/>
    <w:rsid w:val="47D97FDF"/>
    <w:rsid w:val="49831FB1"/>
    <w:rsid w:val="49B108F4"/>
    <w:rsid w:val="49C600F0"/>
    <w:rsid w:val="49D56585"/>
    <w:rsid w:val="4A130C33"/>
    <w:rsid w:val="4A3B6D2F"/>
    <w:rsid w:val="4B647BC0"/>
    <w:rsid w:val="4B7324F9"/>
    <w:rsid w:val="4BE41453"/>
    <w:rsid w:val="4BF453E8"/>
    <w:rsid w:val="4C1E2465"/>
    <w:rsid w:val="4CA50490"/>
    <w:rsid w:val="4E880069"/>
    <w:rsid w:val="4F2A2ECF"/>
    <w:rsid w:val="4F587A3C"/>
    <w:rsid w:val="4FAB400F"/>
    <w:rsid w:val="50131443"/>
    <w:rsid w:val="50726A1D"/>
    <w:rsid w:val="50D91050"/>
    <w:rsid w:val="5176064D"/>
    <w:rsid w:val="51EC090F"/>
    <w:rsid w:val="528B1ED6"/>
    <w:rsid w:val="530A54F1"/>
    <w:rsid w:val="532A7E8A"/>
    <w:rsid w:val="53740BBC"/>
    <w:rsid w:val="53E45D42"/>
    <w:rsid w:val="54406942"/>
    <w:rsid w:val="54C2380D"/>
    <w:rsid w:val="54C47921"/>
    <w:rsid w:val="550C37A2"/>
    <w:rsid w:val="55C54D2D"/>
    <w:rsid w:val="56586573"/>
    <w:rsid w:val="575136EE"/>
    <w:rsid w:val="575B456D"/>
    <w:rsid w:val="577473DD"/>
    <w:rsid w:val="57AE6D93"/>
    <w:rsid w:val="588673C8"/>
    <w:rsid w:val="59926240"/>
    <w:rsid w:val="5B2829B8"/>
    <w:rsid w:val="5C935747"/>
    <w:rsid w:val="5D3D1206"/>
    <w:rsid w:val="5F487ACD"/>
    <w:rsid w:val="60D20857"/>
    <w:rsid w:val="610C68D8"/>
    <w:rsid w:val="61113EEE"/>
    <w:rsid w:val="612C2AD6"/>
    <w:rsid w:val="614B7400"/>
    <w:rsid w:val="61D513C0"/>
    <w:rsid w:val="62621EBF"/>
    <w:rsid w:val="627C183B"/>
    <w:rsid w:val="63464323"/>
    <w:rsid w:val="634C3904"/>
    <w:rsid w:val="63844520"/>
    <w:rsid w:val="63A3584A"/>
    <w:rsid w:val="63BE035D"/>
    <w:rsid w:val="642F3266"/>
    <w:rsid w:val="64803865"/>
    <w:rsid w:val="64992B79"/>
    <w:rsid w:val="655F791E"/>
    <w:rsid w:val="656F7435"/>
    <w:rsid w:val="65B55790"/>
    <w:rsid w:val="65BF216B"/>
    <w:rsid w:val="65F20792"/>
    <w:rsid w:val="660B1854"/>
    <w:rsid w:val="660D737A"/>
    <w:rsid w:val="66C537B1"/>
    <w:rsid w:val="66F978FF"/>
    <w:rsid w:val="672901E4"/>
    <w:rsid w:val="675863D3"/>
    <w:rsid w:val="675E02F4"/>
    <w:rsid w:val="678514CC"/>
    <w:rsid w:val="67D1389F"/>
    <w:rsid w:val="68356714"/>
    <w:rsid w:val="6897117D"/>
    <w:rsid w:val="68A5389A"/>
    <w:rsid w:val="6905258B"/>
    <w:rsid w:val="69085BD7"/>
    <w:rsid w:val="6938470E"/>
    <w:rsid w:val="695E7EED"/>
    <w:rsid w:val="69635503"/>
    <w:rsid w:val="69AA4EE0"/>
    <w:rsid w:val="6A4C5F97"/>
    <w:rsid w:val="6A616842"/>
    <w:rsid w:val="6A6B28C1"/>
    <w:rsid w:val="6A7379C8"/>
    <w:rsid w:val="6C1256EA"/>
    <w:rsid w:val="6C5D623A"/>
    <w:rsid w:val="6CC85DA9"/>
    <w:rsid w:val="6DCF760B"/>
    <w:rsid w:val="6E753D0F"/>
    <w:rsid w:val="6E7E7814"/>
    <w:rsid w:val="6EBE3907"/>
    <w:rsid w:val="6F084B83"/>
    <w:rsid w:val="6F946416"/>
    <w:rsid w:val="6FD42CB7"/>
    <w:rsid w:val="70A76930"/>
    <w:rsid w:val="70AB3A18"/>
    <w:rsid w:val="71630796"/>
    <w:rsid w:val="71635E8C"/>
    <w:rsid w:val="718D5813"/>
    <w:rsid w:val="719872B5"/>
    <w:rsid w:val="71E511AB"/>
    <w:rsid w:val="72563E57"/>
    <w:rsid w:val="72BB015E"/>
    <w:rsid w:val="730E64E0"/>
    <w:rsid w:val="731E2BC7"/>
    <w:rsid w:val="73C53042"/>
    <w:rsid w:val="73FE6554"/>
    <w:rsid w:val="74165E03"/>
    <w:rsid w:val="743B3F87"/>
    <w:rsid w:val="74A72748"/>
    <w:rsid w:val="750B0AE0"/>
    <w:rsid w:val="75BB227D"/>
    <w:rsid w:val="75E55C1E"/>
    <w:rsid w:val="76962A74"/>
    <w:rsid w:val="77A80CB1"/>
    <w:rsid w:val="789501BD"/>
    <w:rsid w:val="78FB12B4"/>
    <w:rsid w:val="79752E15"/>
    <w:rsid w:val="7A0D129F"/>
    <w:rsid w:val="7A6D4434"/>
    <w:rsid w:val="7AAC4F5C"/>
    <w:rsid w:val="7ABE4C8F"/>
    <w:rsid w:val="7AF67F85"/>
    <w:rsid w:val="7AFA068A"/>
    <w:rsid w:val="7B4A02D1"/>
    <w:rsid w:val="7BD77DB7"/>
    <w:rsid w:val="7BD83B2F"/>
    <w:rsid w:val="7C047026"/>
    <w:rsid w:val="7C1E3C37"/>
    <w:rsid w:val="7CCC2C75"/>
    <w:rsid w:val="7D255942"/>
    <w:rsid w:val="7D494CE4"/>
    <w:rsid w:val="7E1D3D33"/>
    <w:rsid w:val="7E5C27F5"/>
    <w:rsid w:val="7F062761"/>
    <w:rsid w:val="7F10538E"/>
    <w:rsid w:val="7F8B2C20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27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HTML Preformatted"/>
    <w:basedOn w:val="1"/>
    <w:link w:val="30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111"/>
    <w:basedOn w:val="1"/>
    <w:link w:val="21"/>
    <w:qFormat/>
    <w:uiPriority w:val="0"/>
    <w:pPr>
      <w:spacing w:beforeLines="50"/>
      <w:ind w:firstLine="480"/>
    </w:pPr>
  </w:style>
  <w:style w:type="character" w:customStyle="1" w:styleId="21">
    <w:name w:val="111 Char"/>
    <w:basedOn w:val="12"/>
    <w:link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批注主题 字符"/>
    <w:basedOn w:val="22"/>
    <w:link w:val="10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pPr>
      <w:ind w:left="107"/>
    </w:pPr>
    <w:rPr>
      <w:rFonts w:ascii="宋体" w:hAnsi="宋体" w:cs="宋体"/>
      <w:lang w:val="zh-CN" w:bidi="zh-CN"/>
    </w:rPr>
  </w:style>
  <w:style w:type="paragraph" w:customStyle="1" w:styleId="26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7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8">
    <w:name w:val="md-siz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character" w:customStyle="1" w:styleId="29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HTML 预设格式 字符"/>
    <w:basedOn w:val="12"/>
    <w:link w:val="8"/>
    <w:semiHidden/>
    <w:qFormat/>
    <w:uiPriority w:val="99"/>
    <w:rPr>
      <w:rFonts w:ascii="Courier New" w:hAnsi="Courier New" w:eastAsia="宋体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3208</Words>
  <Characters>3249</Characters>
  <Lines>19</Lines>
  <Paragraphs>5</Paragraphs>
  <TotalTime>77</TotalTime>
  <ScaleCrop>false</ScaleCrop>
  <LinksUpToDate>false</LinksUpToDate>
  <CharactersWithSpaces>3384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2024-09-19T03:28:00Z</dcterms:created>
  <dc:creator>LZG</dc:creator>
  <cp:lastModifiedBy>于百岁</cp:lastModifiedBy>
  <dcterms:modified xsi:type="dcterms:W3CDTF">2025-07-01T09:21:43Z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C73AB527EF674047ADD6CC2BD7201CAD_13</vt:lpwstr>
  </property>
  <property fmtid="{D5CDD505-2E9C-101B-9397-08002B2CF9AE}" pid="4" name="KSOTemplateDocerSaveRecord">
    <vt:lpwstr>eyJoZGlkIjoiNjk4Y2I4NTA0ZWZlNjU2N2VkMTA1ZDUzYzExZWVlNGQiLCJ1c2VySWQiOiIyODg2MzQyMTIifQ==</vt:lpwstr>
  </property>
</Properties>
</file>