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A3C13">
      <w:pPr>
        <w:spacing w:after="312" w:afterLines="100" w:line="400" w:lineRule="exact"/>
        <w:rPr>
          <w:b/>
          <w:bCs/>
          <w:iCs/>
          <w:color w:val="000000"/>
          <w:sz w:val="32"/>
          <w:szCs w:val="32"/>
        </w:rPr>
      </w:pPr>
      <w:bookmarkStart w:id="0" w:name="_GoBack"/>
      <w:bookmarkEnd w:id="0"/>
      <w:r>
        <w:rPr>
          <w:b/>
          <w:bCs/>
          <w:iCs/>
          <w:color w:val="000000"/>
          <w:sz w:val="24"/>
        </w:rPr>
        <w:t xml:space="preserve">证券代码：603169                               </w:t>
      </w:r>
      <w:r>
        <w:rPr>
          <w:rFonts w:hint="eastAsia"/>
          <w:b/>
          <w:bCs/>
          <w:iCs/>
          <w:color w:val="000000"/>
          <w:sz w:val="24"/>
        </w:rPr>
        <w:t xml:space="preserve">                                    </w:t>
      </w:r>
      <w:r>
        <w:rPr>
          <w:b/>
          <w:bCs/>
          <w:iCs/>
          <w:color w:val="000000"/>
          <w:sz w:val="24"/>
        </w:rPr>
        <w:t xml:space="preserve"> 证券简称：兰石重装</w:t>
      </w:r>
    </w:p>
    <w:p w14:paraId="5D2F2338">
      <w:pPr>
        <w:spacing w:after="156" w:afterLines="50" w:line="400" w:lineRule="exact"/>
        <w:jc w:val="center"/>
        <w:rPr>
          <w:b/>
          <w:bCs/>
          <w:iCs/>
          <w:color w:val="000000"/>
          <w:sz w:val="32"/>
          <w:szCs w:val="32"/>
        </w:rPr>
      </w:pPr>
      <w:r>
        <w:rPr>
          <w:b/>
          <w:bCs/>
          <w:iCs/>
          <w:color w:val="000000"/>
          <w:sz w:val="32"/>
          <w:szCs w:val="32"/>
        </w:rPr>
        <w:t>兰州兰石重型装备股份有限公司投资者关系活动记录表</w:t>
      </w:r>
    </w:p>
    <w:p w14:paraId="28D622A8">
      <w:pPr>
        <w:spacing w:line="400" w:lineRule="exact"/>
        <w:rPr>
          <w:bCs/>
          <w:iCs/>
          <w:color w:val="000000"/>
          <w:sz w:val="24"/>
        </w:rPr>
      </w:pPr>
      <w:r>
        <w:rPr>
          <w:bCs/>
          <w:iCs/>
          <w:color w:val="000000"/>
          <w:sz w:val="24"/>
        </w:rPr>
        <w:t xml:space="preserve">                                                         202</w:t>
      </w:r>
      <w:r>
        <w:rPr>
          <w:rFonts w:hint="eastAsia"/>
          <w:bCs/>
          <w:iCs/>
          <w:color w:val="000000"/>
          <w:sz w:val="24"/>
        </w:rPr>
        <w:t>5</w:t>
      </w:r>
      <w:r>
        <w:rPr>
          <w:bCs/>
          <w:iCs/>
          <w:color w:val="000000"/>
          <w:sz w:val="24"/>
        </w:rPr>
        <w:t>年</w:t>
      </w:r>
      <w:r>
        <w:rPr>
          <w:rFonts w:hint="eastAsia"/>
          <w:bCs/>
          <w:iCs/>
          <w:color w:val="000000"/>
          <w:sz w:val="24"/>
        </w:rPr>
        <w:t>7</w:t>
      </w:r>
      <w:r>
        <w:rPr>
          <w:bCs/>
          <w:iCs/>
          <w:color w:val="000000"/>
          <w:sz w:val="24"/>
        </w:rPr>
        <w:t>月</w:t>
      </w:r>
      <w:r>
        <w:rPr>
          <w:rFonts w:hint="eastAsia"/>
          <w:bCs/>
          <w:iCs/>
          <w:color w:val="000000"/>
          <w:sz w:val="24"/>
          <w:lang w:val="en-US" w:eastAsia="zh-CN"/>
        </w:rPr>
        <w:t>9</w:t>
      </w:r>
      <w:r>
        <w:rPr>
          <w:bCs/>
          <w:iCs/>
          <w:color w:val="000000"/>
          <w:sz w:val="24"/>
        </w:rPr>
        <w:t>日</w:t>
      </w:r>
    </w:p>
    <w:tbl>
      <w:tblPr>
        <w:tblStyle w:val="7"/>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51"/>
      </w:tblGrid>
      <w:tr w14:paraId="3B82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14:paraId="748A321C">
            <w:pPr>
              <w:jc w:val="center"/>
              <w:rPr>
                <w:bCs/>
                <w:iCs/>
                <w:color w:val="000000"/>
                <w:sz w:val="24"/>
              </w:rPr>
            </w:pPr>
            <w:r>
              <w:rPr>
                <w:bCs/>
                <w:iCs/>
                <w:color w:val="000000"/>
                <w:sz w:val="24"/>
              </w:rPr>
              <w:t>投资者关系活动类别</w:t>
            </w:r>
          </w:p>
        </w:tc>
        <w:tc>
          <w:tcPr>
            <w:tcW w:w="6751" w:type="dxa"/>
          </w:tcPr>
          <w:p w14:paraId="0ED3BC9F">
            <w:pPr>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特定对象调研        </w:t>
            </w:r>
            <w:r>
              <w:rPr>
                <w:rFonts w:hint="eastAsia" w:ascii="宋体" w:hAnsi="宋体"/>
                <w:bCs/>
                <w:iCs/>
                <w:color w:val="000000"/>
                <w:sz w:val="22"/>
              </w:rPr>
              <w:t>□</w:t>
            </w:r>
            <w:r>
              <w:rPr>
                <w:rFonts w:hint="eastAsia" w:ascii="宋体" w:hAnsi="宋体"/>
                <w:sz w:val="22"/>
              </w:rPr>
              <w:t>分析师会议</w:t>
            </w:r>
          </w:p>
          <w:p w14:paraId="56183070">
            <w:pPr>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媒体采访            </w:t>
            </w:r>
            <w:r>
              <w:rPr>
                <w:rFonts w:hint="eastAsia" w:ascii="宋体" w:hAnsi="宋体"/>
                <w:bCs/>
                <w:iCs/>
                <w:color w:val="000000"/>
                <w:sz w:val="22"/>
              </w:rPr>
              <w:t>□</w:t>
            </w:r>
            <w:r>
              <w:rPr>
                <w:rFonts w:hint="eastAsia" w:ascii="宋体" w:hAnsi="宋体"/>
                <w:sz w:val="22"/>
              </w:rPr>
              <w:t>业绩说明会</w:t>
            </w:r>
          </w:p>
          <w:p w14:paraId="3D4BDA05">
            <w:pPr>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新闻发布会          </w:t>
            </w:r>
            <w:r>
              <w:rPr>
                <w:rFonts w:hint="eastAsia" w:ascii="宋体" w:hAnsi="宋体"/>
                <w:bCs/>
                <w:iCs/>
                <w:color w:val="000000"/>
                <w:sz w:val="22"/>
              </w:rPr>
              <w:t>□</w:t>
            </w:r>
            <w:r>
              <w:rPr>
                <w:rFonts w:hint="eastAsia" w:ascii="宋体" w:hAnsi="宋体"/>
                <w:sz w:val="22"/>
              </w:rPr>
              <w:t>路演活动</w:t>
            </w:r>
          </w:p>
          <w:p w14:paraId="4BC02920">
            <w:pPr>
              <w:tabs>
                <w:tab w:val="left" w:pos="2580"/>
                <w:tab w:val="center" w:pos="3199"/>
              </w:tabs>
              <w:rPr>
                <w:rFonts w:ascii="宋体" w:hAnsi="宋体"/>
                <w:bCs/>
                <w:iCs/>
                <w:color w:val="000000"/>
                <w:sz w:val="22"/>
              </w:rPr>
            </w:pPr>
            <w:r>
              <w:rPr>
                <w:rFonts w:hint="eastAsia" w:ascii="宋体" w:hAnsi="宋体"/>
                <w:bCs/>
                <w:iCs/>
                <w:color w:val="000000"/>
                <w:sz w:val="22"/>
              </w:rPr>
              <w:t>☑</w:t>
            </w:r>
            <w:r>
              <w:rPr>
                <w:rFonts w:hint="eastAsia" w:ascii="宋体" w:hAnsi="宋体"/>
                <w:sz w:val="22"/>
              </w:rPr>
              <w:t xml:space="preserve">现场参观            </w:t>
            </w:r>
            <w:r>
              <w:rPr>
                <w:rFonts w:hint="eastAsia" w:ascii="宋体" w:hAnsi="宋体"/>
                <w:bCs/>
                <w:iCs/>
                <w:color w:val="000000"/>
                <w:sz w:val="22"/>
              </w:rPr>
              <w:t>□</w:t>
            </w:r>
            <w:r>
              <w:rPr>
                <w:rFonts w:hint="eastAsia" w:ascii="宋体" w:hAnsi="宋体"/>
                <w:sz w:val="22"/>
              </w:rPr>
              <w:t>一对一沟通</w:t>
            </w:r>
          </w:p>
          <w:p w14:paraId="52FB6468">
            <w:pPr>
              <w:tabs>
                <w:tab w:val="center" w:pos="3199"/>
              </w:tabs>
              <w:rPr>
                <w:bCs/>
                <w:iCs/>
                <w:color w:val="000000"/>
                <w:sz w:val="24"/>
              </w:rPr>
            </w:pPr>
            <w:r>
              <w:rPr>
                <w:rFonts w:hint="eastAsia" w:ascii="宋体" w:hAnsi="宋体"/>
                <w:bCs/>
                <w:iCs/>
                <w:color w:val="000000"/>
                <w:sz w:val="22"/>
              </w:rPr>
              <w:t>□</w:t>
            </w:r>
            <w:r>
              <w:rPr>
                <w:rFonts w:hint="eastAsia" w:ascii="宋体" w:hAnsi="宋体"/>
                <w:sz w:val="22"/>
              </w:rPr>
              <w:t>其他（请文字说明其他活动内容）</w:t>
            </w:r>
          </w:p>
        </w:tc>
      </w:tr>
      <w:tr w14:paraId="0999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499D59C6">
            <w:pPr>
              <w:jc w:val="center"/>
              <w:rPr>
                <w:bCs/>
                <w:iCs/>
                <w:color w:val="000000"/>
                <w:sz w:val="24"/>
              </w:rPr>
            </w:pPr>
            <w:r>
              <w:rPr>
                <w:bCs/>
                <w:iCs/>
                <w:color w:val="000000"/>
                <w:sz w:val="24"/>
              </w:rPr>
              <w:t>参与单位名称及人员姓名</w:t>
            </w:r>
          </w:p>
        </w:tc>
        <w:tc>
          <w:tcPr>
            <w:tcW w:w="6751" w:type="dxa"/>
            <w:vAlign w:val="center"/>
          </w:tcPr>
          <w:p w14:paraId="01A390B8">
            <w:pPr>
              <w:jc w:val="left"/>
              <w:rPr>
                <w:rFonts w:eastAsia="楷体"/>
                <w:bCs/>
                <w:iCs/>
                <w:color w:val="000000"/>
                <w:sz w:val="24"/>
              </w:rPr>
            </w:pPr>
            <w:r>
              <w:rPr>
                <w:rFonts w:hint="eastAsia" w:asciiTheme="majorEastAsia" w:hAnsiTheme="majorEastAsia" w:eastAsiaTheme="majorEastAsia" w:cstheme="majorEastAsia"/>
                <w:bCs/>
                <w:iCs/>
                <w:color w:val="000000"/>
                <w:sz w:val="24"/>
                <w:lang w:val="en-US" w:eastAsia="zh-CN"/>
              </w:rPr>
              <w:t>交</w:t>
            </w:r>
            <w:r>
              <w:rPr>
                <w:rFonts w:hint="eastAsia" w:asciiTheme="majorEastAsia" w:hAnsiTheme="majorEastAsia" w:eastAsiaTheme="majorEastAsia" w:cstheme="majorEastAsia"/>
                <w:bCs/>
                <w:iCs/>
                <w:color w:val="000000"/>
                <w:sz w:val="24"/>
              </w:rPr>
              <w:t>银基金：</w:t>
            </w:r>
            <w:r>
              <w:rPr>
                <w:rFonts w:hint="eastAsia" w:eastAsia="楷体"/>
                <w:bCs/>
                <w:iCs/>
                <w:color w:val="000000"/>
                <w:sz w:val="24"/>
              </w:rPr>
              <w:t>王少成</w:t>
            </w:r>
            <w:r>
              <w:rPr>
                <w:rFonts w:hint="eastAsia" w:eastAsia="楷体"/>
                <w:bCs/>
                <w:iCs/>
                <w:color w:val="000000"/>
                <w:sz w:val="24"/>
                <w:lang w:eastAsia="zh-CN"/>
              </w:rPr>
              <w:t>、何雄</w:t>
            </w:r>
            <w:r>
              <w:rPr>
                <w:rFonts w:hint="eastAsia" w:eastAsia="楷体"/>
                <w:bCs/>
                <w:iCs/>
                <w:color w:val="000000"/>
                <w:sz w:val="24"/>
              </w:rPr>
              <w:t>；</w:t>
            </w:r>
            <w:r>
              <w:rPr>
                <w:rFonts w:hint="eastAsia" w:asciiTheme="majorEastAsia" w:hAnsiTheme="majorEastAsia" w:eastAsiaTheme="majorEastAsia" w:cstheme="majorEastAsia"/>
                <w:bCs/>
                <w:iCs/>
                <w:color w:val="000000"/>
                <w:sz w:val="24"/>
                <w:lang w:val="en-US" w:eastAsia="zh-CN"/>
              </w:rPr>
              <w:t>浙商</w:t>
            </w:r>
            <w:r>
              <w:rPr>
                <w:rFonts w:hint="eastAsia" w:asciiTheme="majorEastAsia" w:hAnsiTheme="majorEastAsia" w:eastAsiaTheme="majorEastAsia" w:cstheme="majorEastAsia"/>
                <w:bCs/>
                <w:iCs/>
                <w:color w:val="000000"/>
                <w:sz w:val="24"/>
              </w:rPr>
              <w:t>证券</w:t>
            </w:r>
            <w:r>
              <w:rPr>
                <w:rFonts w:hint="eastAsia" w:eastAsia="楷体"/>
                <w:bCs/>
                <w:iCs/>
                <w:color w:val="000000"/>
                <w:sz w:val="24"/>
              </w:rPr>
              <w:t>：周向昉</w:t>
            </w:r>
            <w:r>
              <w:rPr>
                <w:rFonts w:hint="eastAsia" w:eastAsia="楷体"/>
                <w:bCs/>
                <w:iCs/>
                <w:color w:val="000000"/>
                <w:sz w:val="24"/>
                <w:lang w:eastAsia="zh-CN"/>
              </w:rPr>
              <w:t>、</w:t>
            </w:r>
            <w:r>
              <w:rPr>
                <w:rFonts w:hint="eastAsia" w:eastAsia="楷体"/>
                <w:bCs/>
                <w:iCs/>
                <w:color w:val="000000"/>
                <w:sz w:val="24"/>
              </w:rPr>
              <w:t>邓楠</w:t>
            </w:r>
          </w:p>
        </w:tc>
      </w:tr>
      <w:tr w14:paraId="4D89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49E6BEB2">
            <w:pPr>
              <w:jc w:val="center"/>
              <w:rPr>
                <w:bCs/>
                <w:iCs/>
                <w:color w:val="000000"/>
                <w:sz w:val="24"/>
              </w:rPr>
            </w:pPr>
            <w:r>
              <w:rPr>
                <w:bCs/>
                <w:iCs/>
                <w:color w:val="000000"/>
                <w:sz w:val="24"/>
              </w:rPr>
              <w:t>时间</w:t>
            </w:r>
          </w:p>
        </w:tc>
        <w:tc>
          <w:tcPr>
            <w:tcW w:w="6751" w:type="dxa"/>
            <w:vAlign w:val="center"/>
          </w:tcPr>
          <w:p w14:paraId="4C724515">
            <w:pPr>
              <w:rPr>
                <w:bCs/>
                <w:iCs/>
                <w:color w:val="000000"/>
                <w:sz w:val="24"/>
              </w:rPr>
            </w:pPr>
            <w:r>
              <w:rPr>
                <w:bCs/>
                <w:iCs/>
                <w:color w:val="000000"/>
                <w:sz w:val="24"/>
              </w:rPr>
              <w:t>202</w:t>
            </w:r>
            <w:r>
              <w:rPr>
                <w:rFonts w:hint="eastAsia"/>
                <w:bCs/>
                <w:iCs/>
                <w:color w:val="000000"/>
                <w:sz w:val="24"/>
              </w:rPr>
              <w:t>5</w:t>
            </w:r>
            <w:r>
              <w:rPr>
                <w:bCs/>
                <w:iCs/>
                <w:color w:val="000000"/>
                <w:sz w:val="24"/>
              </w:rPr>
              <w:t>年</w:t>
            </w:r>
            <w:r>
              <w:rPr>
                <w:rFonts w:hint="eastAsia"/>
                <w:bCs/>
                <w:iCs/>
                <w:color w:val="000000"/>
                <w:sz w:val="24"/>
              </w:rPr>
              <w:t>7</w:t>
            </w:r>
            <w:r>
              <w:rPr>
                <w:bCs/>
                <w:iCs/>
                <w:color w:val="000000"/>
                <w:sz w:val="24"/>
              </w:rPr>
              <w:t>月</w:t>
            </w:r>
            <w:r>
              <w:rPr>
                <w:rFonts w:hint="eastAsia"/>
                <w:bCs/>
                <w:iCs/>
                <w:color w:val="000000"/>
                <w:sz w:val="24"/>
                <w:lang w:val="en-US" w:eastAsia="zh-CN"/>
              </w:rPr>
              <w:t>9</w:t>
            </w:r>
            <w:r>
              <w:rPr>
                <w:bCs/>
                <w:iCs/>
                <w:color w:val="000000"/>
                <w:sz w:val="24"/>
              </w:rPr>
              <w:t>日</w:t>
            </w:r>
          </w:p>
        </w:tc>
      </w:tr>
      <w:tr w14:paraId="664A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5FCC938F">
            <w:pPr>
              <w:jc w:val="center"/>
              <w:rPr>
                <w:bCs/>
                <w:iCs/>
                <w:color w:val="000000"/>
                <w:sz w:val="24"/>
              </w:rPr>
            </w:pPr>
            <w:r>
              <w:rPr>
                <w:bCs/>
                <w:iCs/>
                <w:color w:val="000000"/>
                <w:sz w:val="24"/>
              </w:rPr>
              <w:t>地点</w:t>
            </w:r>
          </w:p>
        </w:tc>
        <w:tc>
          <w:tcPr>
            <w:tcW w:w="6751" w:type="dxa"/>
            <w:vAlign w:val="center"/>
          </w:tcPr>
          <w:p w14:paraId="3CA735A4">
            <w:pPr>
              <w:rPr>
                <w:bCs/>
                <w:iCs/>
                <w:color w:val="000000"/>
                <w:sz w:val="24"/>
              </w:rPr>
            </w:pPr>
            <w:r>
              <w:rPr>
                <w:rFonts w:hint="eastAsia"/>
                <w:bCs/>
                <w:iCs/>
                <w:color w:val="000000"/>
                <w:sz w:val="24"/>
              </w:rPr>
              <w:t>兰州兰石重型装备股份有限公司兰州总部</w:t>
            </w:r>
          </w:p>
        </w:tc>
      </w:tr>
      <w:tr w14:paraId="1078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01" w:type="dxa"/>
            <w:vAlign w:val="center"/>
          </w:tcPr>
          <w:p w14:paraId="1719D4EB">
            <w:pPr>
              <w:snapToGrid w:val="0"/>
              <w:jc w:val="center"/>
              <w:rPr>
                <w:bCs/>
                <w:iCs/>
                <w:color w:val="000000"/>
                <w:sz w:val="24"/>
              </w:rPr>
            </w:pPr>
            <w:r>
              <w:rPr>
                <w:bCs/>
                <w:iCs/>
                <w:color w:val="000000"/>
                <w:sz w:val="24"/>
              </w:rPr>
              <w:t>上市公司</w:t>
            </w:r>
          </w:p>
          <w:p w14:paraId="719FF081">
            <w:pPr>
              <w:snapToGrid w:val="0"/>
              <w:jc w:val="center"/>
              <w:rPr>
                <w:bCs/>
                <w:iCs/>
                <w:color w:val="000000"/>
                <w:sz w:val="24"/>
              </w:rPr>
            </w:pPr>
            <w:r>
              <w:rPr>
                <w:bCs/>
                <w:iCs/>
                <w:color w:val="000000"/>
                <w:sz w:val="24"/>
              </w:rPr>
              <w:t>接待人员</w:t>
            </w:r>
          </w:p>
        </w:tc>
        <w:tc>
          <w:tcPr>
            <w:tcW w:w="6751" w:type="dxa"/>
            <w:vAlign w:val="center"/>
          </w:tcPr>
          <w:p w14:paraId="725FF154">
            <w:pPr>
              <w:snapToGrid w:val="0"/>
              <w:rPr>
                <w:rFonts w:hint="default" w:eastAsia="宋体"/>
                <w:bCs/>
                <w:iCs/>
                <w:color w:val="000000"/>
                <w:sz w:val="24"/>
                <w:lang w:val="en-US" w:eastAsia="zh-CN"/>
              </w:rPr>
            </w:pPr>
            <w:r>
              <w:rPr>
                <w:rFonts w:hint="eastAsia"/>
                <w:bCs/>
                <w:iCs/>
                <w:color w:val="000000"/>
                <w:sz w:val="24"/>
                <w:lang w:val="en-US" w:eastAsia="zh-CN"/>
              </w:rPr>
              <w:t>董事长郭富永、</w:t>
            </w:r>
            <w:r>
              <w:rPr>
                <w:rFonts w:hint="eastAsia"/>
                <w:bCs/>
                <w:iCs/>
                <w:color w:val="000000"/>
                <w:sz w:val="24"/>
              </w:rPr>
              <w:t>董事会秘书武锐锐</w:t>
            </w:r>
            <w:r>
              <w:rPr>
                <w:rFonts w:hint="eastAsia"/>
                <w:bCs/>
                <w:iCs/>
                <w:color w:val="000000"/>
                <w:sz w:val="24"/>
                <w:lang w:eastAsia="zh-CN"/>
              </w:rPr>
              <w:t>、</w:t>
            </w:r>
            <w:r>
              <w:rPr>
                <w:rFonts w:hint="eastAsia"/>
                <w:bCs/>
                <w:iCs/>
                <w:color w:val="000000"/>
                <w:sz w:val="24"/>
                <w:lang w:val="en-US" w:eastAsia="zh-CN"/>
              </w:rPr>
              <w:t>证券事务代表周怀莲</w:t>
            </w:r>
          </w:p>
        </w:tc>
      </w:tr>
      <w:tr w14:paraId="5F4B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1" w:type="dxa"/>
            <w:vAlign w:val="center"/>
          </w:tcPr>
          <w:p w14:paraId="04B2D9DA">
            <w:pPr>
              <w:spacing w:line="360" w:lineRule="auto"/>
              <w:jc w:val="center"/>
              <w:rPr>
                <w:bCs/>
                <w:iCs/>
                <w:color w:val="000000"/>
                <w:sz w:val="24"/>
              </w:rPr>
            </w:pPr>
            <w:r>
              <w:rPr>
                <w:bCs/>
                <w:iCs/>
                <w:color w:val="000000"/>
                <w:sz w:val="24"/>
              </w:rPr>
              <w:t>投资者关系活动主要内容介绍</w:t>
            </w:r>
          </w:p>
        </w:tc>
        <w:tc>
          <w:tcPr>
            <w:tcW w:w="6751" w:type="dxa"/>
            <w:vAlign w:val="center"/>
          </w:tcPr>
          <w:p w14:paraId="4FF3B84E">
            <w:pPr>
              <w:spacing w:line="360" w:lineRule="auto"/>
              <w:ind w:firstLine="482" w:firstLineChars="200"/>
              <w:outlineLvl w:val="0"/>
              <w:rPr>
                <w:rFonts w:ascii="宋体" w:hAnsi="宋体"/>
                <w:b/>
                <w:sz w:val="24"/>
              </w:rPr>
            </w:pPr>
            <w:r>
              <w:rPr>
                <w:rFonts w:hint="eastAsia" w:ascii="宋体" w:hAnsi="宋体"/>
                <w:b/>
                <w:sz w:val="24"/>
              </w:rPr>
              <w:t>一、现场参观环节</w:t>
            </w:r>
          </w:p>
          <w:p w14:paraId="3B4AC352">
            <w:pPr>
              <w:spacing w:line="360" w:lineRule="auto"/>
              <w:ind w:firstLine="480" w:firstLineChars="200"/>
              <w:outlineLvl w:val="0"/>
              <w:rPr>
                <w:sz w:val="24"/>
              </w:rPr>
            </w:pPr>
            <w:r>
              <w:rPr>
                <w:rFonts w:hint="eastAsia"/>
                <w:sz w:val="24"/>
              </w:rPr>
              <w:t>现场依次参观了兰石展馆、重型装备制造车间、数字化指挥中心。</w:t>
            </w:r>
          </w:p>
          <w:p w14:paraId="1F9D4A83">
            <w:pPr>
              <w:spacing w:line="360" w:lineRule="auto"/>
              <w:ind w:firstLine="482" w:firstLineChars="200"/>
              <w:outlineLvl w:val="0"/>
              <w:rPr>
                <w:rFonts w:ascii="宋体" w:hAnsi="宋体"/>
                <w:b/>
                <w:sz w:val="24"/>
              </w:rPr>
            </w:pPr>
            <w:r>
              <w:rPr>
                <w:rFonts w:hint="eastAsia" w:ascii="宋体" w:hAnsi="宋体"/>
                <w:b/>
                <w:sz w:val="24"/>
              </w:rPr>
              <w:t>二、座谈环节</w:t>
            </w:r>
          </w:p>
          <w:p w14:paraId="78E2113C">
            <w:pPr>
              <w:spacing w:line="360" w:lineRule="auto"/>
              <w:ind w:firstLine="482" w:firstLineChars="200"/>
              <w:outlineLvl w:val="0"/>
              <w:rPr>
                <w:rFonts w:ascii="宋体" w:hAnsi="宋体"/>
                <w:b/>
                <w:sz w:val="24"/>
              </w:rPr>
            </w:pPr>
            <w:r>
              <w:rPr>
                <w:rFonts w:hint="eastAsia" w:ascii="宋体" w:hAnsi="宋体"/>
                <w:b/>
                <w:sz w:val="24"/>
              </w:rPr>
              <w:t>（一）公司经营情况</w:t>
            </w:r>
          </w:p>
          <w:p w14:paraId="4625FAE4">
            <w:pPr>
              <w:spacing w:line="360" w:lineRule="auto"/>
              <w:ind w:firstLine="480" w:firstLineChars="200"/>
              <w:outlineLvl w:val="0"/>
              <w:rPr>
                <w:sz w:val="24"/>
              </w:rPr>
            </w:pPr>
            <w:r>
              <w:rPr>
                <w:rFonts w:hint="eastAsia"/>
                <w:sz w:val="24"/>
              </w:rPr>
              <w:t>公司的业务板块涵盖能源装备制造、技术服务、工程总包、金属新材料四大领域。2024年度，公司实现营业收入57.91亿元，同比增长12.18%；归属于上市公司股东的净利润1.56亿元，同比增长1.59%。2025年第一季度，公司实现营业收入14.12亿元，同比增长52.30%，归属于上市公司股东的净利润1,454.56万元，同比减少56.08%。</w:t>
            </w:r>
          </w:p>
          <w:p w14:paraId="03F5DF9C">
            <w:pPr>
              <w:spacing w:line="360" w:lineRule="auto"/>
              <w:ind w:firstLine="482" w:firstLineChars="200"/>
              <w:outlineLvl w:val="0"/>
              <w:rPr>
                <w:rFonts w:ascii="宋体" w:hAnsi="宋体"/>
                <w:b/>
                <w:sz w:val="24"/>
              </w:rPr>
            </w:pPr>
            <w:r>
              <w:rPr>
                <w:rFonts w:hint="eastAsia" w:ascii="宋体" w:hAnsi="宋体"/>
                <w:b/>
                <w:sz w:val="24"/>
              </w:rPr>
              <w:t>（二）提问交流</w:t>
            </w:r>
          </w:p>
          <w:p w14:paraId="4D36809E">
            <w:pPr>
              <w:spacing w:line="360" w:lineRule="auto"/>
              <w:ind w:firstLine="482" w:firstLineChars="200"/>
              <w:outlineLvl w:val="0"/>
              <w:rPr>
                <w:rFonts w:hint="default" w:eastAsia="宋体"/>
                <w:b/>
                <w:bCs/>
                <w:sz w:val="24"/>
                <w:lang w:val="en-US" w:eastAsia="zh-CN"/>
              </w:rPr>
            </w:pPr>
            <w:r>
              <w:rPr>
                <w:b/>
                <w:bCs/>
                <w:sz w:val="24"/>
              </w:rPr>
              <w:t>问题1：</w:t>
            </w:r>
            <w:r>
              <w:rPr>
                <w:rFonts w:hint="eastAsia"/>
                <w:b/>
                <w:bCs/>
                <w:sz w:val="24"/>
                <w:lang w:val="en-US" w:eastAsia="zh-CN"/>
              </w:rPr>
              <w:t>请介绍公司的国际订单情况以及国际订单主要分布在哪些国家？</w:t>
            </w:r>
          </w:p>
          <w:p w14:paraId="5D7F2E5D">
            <w:pPr>
              <w:spacing w:line="360" w:lineRule="auto"/>
              <w:ind w:firstLine="480" w:firstLineChars="200"/>
              <w:outlineLvl w:val="0"/>
              <w:rPr>
                <w:sz w:val="24"/>
              </w:rPr>
            </w:pPr>
            <w:r>
              <w:rPr>
                <w:rFonts w:hint="eastAsia"/>
                <w:sz w:val="24"/>
                <w:lang w:val="en-US" w:eastAsia="zh-CN"/>
              </w:rPr>
              <w:t>公司</w:t>
            </w:r>
            <w:r>
              <w:rPr>
                <w:rFonts w:hint="eastAsia"/>
                <w:sz w:val="24"/>
              </w:rPr>
              <w:t>由国内市场向国内国际一体化市场转型，依托自有专利技术、优质服务和良好信誉，紧盯泛俄语地区、中东、南美和东南亚等市场，取得中国化学工程波罗的海化工综合体项目、鞑靼斯坦石油公司年产120万吨/年PTA项目、阿曼联合太阳能多晶硅项目、土耳其asd公司板式换热器项目等订单，</w:t>
            </w:r>
            <w:r>
              <w:rPr>
                <w:rFonts w:hint="eastAsia"/>
                <w:sz w:val="24"/>
                <w:lang w:val="en-US" w:eastAsia="zh-CN"/>
              </w:rPr>
              <w:t>2024年</w:t>
            </w:r>
            <w:r>
              <w:rPr>
                <w:rFonts w:hint="eastAsia"/>
                <w:sz w:val="24"/>
              </w:rPr>
              <w:t>实现国际市场新增订单4.11亿元，同比增长41.09%。</w:t>
            </w:r>
            <w:r>
              <w:rPr>
                <w:rFonts w:hint="eastAsia"/>
                <w:sz w:val="24"/>
                <w:lang w:val="en-US" w:eastAsia="zh-CN"/>
              </w:rPr>
              <w:t>今年，</w:t>
            </w:r>
            <w:r>
              <w:rPr>
                <w:rFonts w:hint="eastAsia"/>
                <w:sz w:val="24"/>
              </w:rPr>
              <w:t>公司签订了沙特某公司10Nm³/hPEM电解水制氢设备项目合同，标志着兰石重装在氢能装备领域取得国际市场突破。随着“一带一路”建设的推进，公司</w:t>
            </w:r>
            <w:r>
              <w:rPr>
                <w:rFonts w:hint="eastAsia"/>
                <w:sz w:val="24"/>
                <w:lang w:val="en-US" w:eastAsia="zh-CN"/>
              </w:rPr>
              <w:t>将</w:t>
            </w:r>
            <w:r>
              <w:rPr>
                <w:rFonts w:hint="eastAsia"/>
                <w:sz w:val="24"/>
              </w:rPr>
              <w:t>利用“五大基地+移动工厂”的优势产能布局，为沿线国家提供更加优质的服务，进一步融入国际化经济战略圈。</w:t>
            </w:r>
          </w:p>
          <w:p w14:paraId="56F459FE">
            <w:pPr>
              <w:spacing w:line="360" w:lineRule="auto"/>
              <w:ind w:firstLine="482" w:firstLineChars="200"/>
              <w:outlineLvl w:val="0"/>
              <w:rPr>
                <w:rFonts w:hint="eastAsia"/>
                <w:b/>
                <w:bCs/>
                <w:sz w:val="24"/>
                <w:lang w:val="en-US" w:eastAsia="zh-CN"/>
              </w:rPr>
            </w:pPr>
            <w:r>
              <w:rPr>
                <w:rFonts w:hint="eastAsia"/>
                <w:b/>
                <w:bCs/>
                <w:sz w:val="24"/>
                <w:lang w:val="en-US" w:eastAsia="zh-CN"/>
              </w:rPr>
              <w:t>问题2：公司在核能产业链是如何布局的，优势是什么？</w:t>
            </w:r>
          </w:p>
          <w:p w14:paraId="029D40C0">
            <w:pPr>
              <w:spacing w:line="360" w:lineRule="auto"/>
              <w:ind w:firstLine="480" w:firstLineChars="200"/>
              <w:outlineLvl w:val="0"/>
              <w:rPr>
                <w:rFonts w:hint="eastAsia"/>
                <w:b w:val="0"/>
                <w:bCs w:val="0"/>
                <w:sz w:val="24"/>
                <w:lang w:val="en-US" w:eastAsia="zh-CN"/>
              </w:rPr>
            </w:pPr>
            <w:r>
              <w:rPr>
                <w:rFonts w:hint="eastAsia"/>
                <w:b w:val="0"/>
                <w:bCs w:val="0"/>
                <w:sz w:val="24"/>
                <w:lang w:val="en-US" w:eastAsia="zh-CN"/>
              </w:rPr>
              <w:t>公司形成了“一中心三基地”的核能装备优势布局。产品覆盖上游核燃料领域装备，中游核电站装备，到下游核乏燃料循环、核环保装备的核能装备全产业链。在压水堆应急柴油机组压力容器及仪表用容器市场占有优势份额，成功研制出四代核电站用高温气冷堆HTL电加热器，子公司中核嘉华在核燃料贮运容器细分领域具有较高的市场占有率，制造了中国首座50吨核乏燃料后处理中试厂的绝大多数非标设备；公司拥有一类放射性物品运输容器制造许可证、民用核安全设备制造许可证等多个核领域资质证书并培育了一支近200名核级焊工及核级无损检测持证人员的专业队伍。2024年，公司核能市场开拓取得积极成效，全年新增订单6.77亿元，同比增长31.05%。</w:t>
            </w:r>
          </w:p>
          <w:p w14:paraId="7CFDEAE0">
            <w:pPr>
              <w:spacing w:line="360" w:lineRule="auto"/>
              <w:ind w:firstLine="482" w:firstLineChars="200"/>
              <w:outlineLvl w:val="0"/>
              <w:rPr>
                <w:rFonts w:hint="eastAsia"/>
                <w:b/>
                <w:bCs/>
                <w:sz w:val="24"/>
                <w:lang w:val="en-US" w:eastAsia="zh-CN"/>
              </w:rPr>
            </w:pPr>
            <w:r>
              <w:rPr>
                <w:rFonts w:hint="eastAsia"/>
                <w:b/>
                <w:bCs/>
                <w:sz w:val="24"/>
                <w:lang w:val="en-US" w:eastAsia="zh-CN"/>
              </w:rPr>
              <w:t>问题3：请介绍公司在氢能领域包括哪些产品。</w:t>
            </w:r>
          </w:p>
          <w:p w14:paraId="7708D26A">
            <w:pPr>
              <w:spacing w:line="360" w:lineRule="auto"/>
              <w:ind w:firstLine="480" w:firstLineChars="200"/>
              <w:outlineLvl w:val="0"/>
              <w:rPr>
                <w:rFonts w:hint="default"/>
                <w:b w:val="0"/>
                <w:bCs w:val="0"/>
                <w:sz w:val="24"/>
                <w:lang w:val="en-US" w:eastAsia="zh-CN"/>
              </w:rPr>
            </w:pPr>
            <w:r>
              <w:rPr>
                <w:rFonts w:hint="default"/>
                <w:b w:val="0"/>
                <w:bCs w:val="0"/>
                <w:sz w:val="24"/>
                <w:lang w:val="en-US" w:eastAsia="zh-CN"/>
              </w:rPr>
              <w:t>在氢能装备领域，公司布局“制、储、输、用（加）”氢能产业，现已制造质子交换膜电解（PEM）制氢装置、碱性电解水制氢装置、全系列低中压储氢容器、微通道换热器（PCHE）等产品，是国内少数研制98Mpa高压气态系列储氢容器的企业，相关制氢储氢装备已经在绿氢制储用一体化试验示范项目中实现推广应用。</w:t>
            </w:r>
          </w:p>
          <w:p w14:paraId="5F5F379B">
            <w:pPr>
              <w:spacing w:line="360" w:lineRule="auto"/>
              <w:ind w:firstLine="482" w:firstLineChars="200"/>
              <w:outlineLvl w:val="0"/>
              <w:rPr>
                <w:rFonts w:hint="eastAsia" w:eastAsia="宋体"/>
                <w:b/>
                <w:bCs/>
                <w:sz w:val="24"/>
                <w:lang w:eastAsia="zh-CN"/>
              </w:rPr>
            </w:pPr>
            <w:r>
              <w:rPr>
                <w:rFonts w:hint="eastAsia"/>
                <w:b/>
                <w:bCs/>
                <w:sz w:val="24"/>
              </w:rPr>
              <w:t>问题</w:t>
            </w:r>
            <w:r>
              <w:rPr>
                <w:rFonts w:hint="eastAsia"/>
                <w:b/>
                <w:bCs/>
                <w:sz w:val="24"/>
                <w:lang w:val="en-US" w:eastAsia="zh-CN"/>
              </w:rPr>
              <w:t>4</w:t>
            </w:r>
            <w:r>
              <w:rPr>
                <w:rFonts w:hint="eastAsia"/>
                <w:b/>
                <w:bCs/>
                <w:sz w:val="24"/>
              </w:rPr>
              <w:t>：</w:t>
            </w:r>
            <w:r>
              <w:rPr>
                <w:rFonts w:hint="eastAsia"/>
                <w:b/>
                <w:bCs/>
                <w:sz w:val="24"/>
                <w:lang w:val="en-US" w:eastAsia="zh-CN"/>
              </w:rPr>
              <w:t>关注到公司可提供“生物质（垃圾）炭化气化制绿氢绿醇整体解决方案”，请简要介绍一下</w:t>
            </w:r>
            <w:r>
              <w:rPr>
                <w:rFonts w:hint="eastAsia"/>
                <w:b/>
                <w:bCs/>
                <w:sz w:val="24"/>
                <w:lang w:eastAsia="zh-CN"/>
              </w:rPr>
              <w:t>。</w:t>
            </w:r>
          </w:p>
          <w:p w14:paraId="2BF86391">
            <w:pPr>
              <w:spacing w:line="360" w:lineRule="auto"/>
              <w:ind w:firstLine="480" w:firstLineChars="200"/>
              <w:outlineLvl w:val="0"/>
              <w:rPr>
                <w:rFonts w:hint="eastAsia"/>
                <w:sz w:val="24"/>
                <w:lang w:eastAsia="zh-CN"/>
              </w:rPr>
            </w:pPr>
            <w:r>
              <w:rPr>
                <w:rFonts w:hint="eastAsia"/>
                <w:sz w:val="24"/>
                <w:lang w:val="en-US" w:eastAsia="zh-CN"/>
              </w:rPr>
              <w:t>公司拥有</w:t>
            </w:r>
            <w:r>
              <w:rPr>
                <w:rFonts w:hint="eastAsia"/>
                <w:sz w:val="24"/>
              </w:rPr>
              <w:t>生物质（生活垃圾、农林废弃物等）低温炭化制炭粉、炭粉加压气化制绿色能源专有技术，具备生物质资源化利用成套技术及装备能力</w:t>
            </w:r>
            <w:r>
              <w:rPr>
                <w:rFonts w:hint="eastAsia"/>
                <w:sz w:val="24"/>
                <w:lang w:eastAsia="zh-CN"/>
              </w:rPr>
              <w:t>。</w:t>
            </w:r>
            <w:r>
              <w:rPr>
                <w:rFonts w:hint="eastAsia"/>
                <w:sz w:val="24"/>
                <w:lang w:val="en-US" w:eastAsia="zh-CN"/>
              </w:rPr>
              <w:t>主装置由</w:t>
            </w:r>
            <w:r>
              <w:rPr>
                <w:rFonts w:hint="eastAsia"/>
                <w:sz w:val="24"/>
                <w:lang w:eastAsia="zh-CN"/>
              </w:rPr>
              <w:t>干燥、绝氧热解、加压流化床气化、水煤气变换、变压吸附</w:t>
            </w:r>
            <w:r>
              <w:rPr>
                <w:rFonts w:hint="eastAsia"/>
                <w:sz w:val="24"/>
                <w:lang w:val="en-US" w:eastAsia="zh-CN"/>
              </w:rPr>
              <w:t>等多</w:t>
            </w:r>
            <w:r>
              <w:rPr>
                <w:rFonts w:hint="eastAsia"/>
                <w:sz w:val="24"/>
                <w:lang w:eastAsia="zh-CN"/>
              </w:rPr>
              <w:t>系统</w:t>
            </w:r>
            <w:r>
              <w:rPr>
                <w:rFonts w:hint="eastAsia"/>
                <w:sz w:val="24"/>
                <w:lang w:val="en-US" w:eastAsia="zh-CN"/>
              </w:rPr>
              <w:t>构成，可</w:t>
            </w:r>
            <w:r>
              <w:rPr>
                <w:rFonts w:hint="eastAsia"/>
                <w:sz w:val="24"/>
                <w:lang w:eastAsia="zh-CN"/>
              </w:rPr>
              <w:t>在低温条件下对生物质进行炭化热处理，得到绿色生物质炭粉，再通过集中式生物质炭粉气化模式制取绿氢，实现可再生生物质能源的高效利用，完成由生物质到绿碳、绿氢、绿醇、绿氨及高端化工产品的合成。</w:t>
            </w:r>
          </w:p>
          <w:p w14:paraId="3A5492F4">
            <w:pPr>
              <w:spacing w:line="360" w:lineRule="auto"/>
              <w:ind w:firstLine="480" w:firstLineChars="200"/>
              <w:outlineLvl w:val="0"/>
              <w:rPr>
                <w:rFonts w:hint="eastAsia"/>
                <w:sz w:val="24"/>
                <w:lang w:eastAsia="zh-CN"/>
              </w:rPr>
            </w:pPr>
            <w:r>
              <w:rPr>
                <w:rFonts w:hint="eastAsia"/>
                <w:sz w:val="24"/>
                <w:lang w:eastAsia="zh-CN"/>
              </w:rPr>
              <w:t>单套炭化装置可日处理生物质规模50-500吨，在处理生活垃圾时，具有无需前端预分拣、投资及运营成本低等显著优点，在300-500℃低温绝氧的炭化环境，机理上实现二噁英及氮氧化物低排放。</w:t>
            </w:r>
          </w:p>
          <w:p w14:paraId="38805D31">
            <w:pPr>
              <w:spacing w:line="336" w:lineRule="auto"/>
              <w:ind w:firstLine="482" w:firstLineChars="200"/>
              <w:outlineLvl w:val="0"/>
              <w:rPr>
                <w:rFonts w:hint="default" w:eastAsia="宋体"/>
                <w:b/>
                <w:bCs/>
                <w:sz w:val="24"/>
                <w:lang w:val="en-US" w:eastAsia="zh-CN"/>
              </w:rPr>
            </w:pPr>
            <w:r>
              <w:rPr>
                <w:rFonts w:hint="eastAsia"/>
                <w:b/>
                <w:bCs/>
                <w:sz w:val="24"/>
              </w:rPr>
              <w:t>问题</w:t>
            </w:r>
            <w:r>
              <w:rPr>
                <w:rFonts w:hint="eastAsia"/>
                <w:b/>
                <w:bCs/>
                <w:sz w:val="24"/>
                <w:lang w:val="en-US" w:eastAsia="zh-CN"/>
              </w:rPr>
              <w:t>5</w:t>
            </w:r>
            <w:r>
              <w:rPr>
                <w:rFonts w:hint="eastAsia"/>
                <w:b/>
                <w:bCs/>
                <w:sz w:val="24"/>
              </w:rPr>
              <w:t>：</w:t>
            </w:r>
            <w:r>
              <w:rPr>
                <w:rFonts w:hint="eastAsia"/>
                <w:b/>
                <w:bCs/>
                <w:sz w:val="24"/>
                <w:lang w:val="en-US" w:eastAsia="zh-CN"/>
              </w:rPr>
              <w:t>公司业务是否涉及到CCUS领域，如有，请介绍在CCUS领域承接了哪些项目。</w:t>
            </w:r>
          </w:p>
          <w:p w14:paraId="2E7CB9C1">
            <w:pPr>
              <w:spacing w:line="336" w:lineRule="auto"/>
              <w:ind w:firstLine="480" w:firstLineChars="200"/>
              <w:outlineLvl w:val="0"/>
              <w:rPr>
                <w:rFonts w:hint="eastAsia" w:eastAsia="宋体"/>
                <w:b/>
                <w:bCs/>
                <w:sz w:val="24"/>
                <w:lang w:eastAsia="zh-CN"/>
              </w:rPr>
            </w:pPr>
            <w:r>
              <w:rPr>
                <w:rFonts w:hint="eastAsia"/>
                <w:b w:val="0"/>
                <w:bCs w:val="0"/>
                <w:sz w:val="24"/>
                <w:lang w:val="en-US" w:eastAsia="zh-CN"/>
              </w:rPr>
              <w:t>公司</w:t>
            </w:r>
            <w:r>
              <w:rPr>
                <w:rFonts w:hint="eastAsia"/>
                <w:b w:val="0"/>
                <w:bCs w:val="0"/>
                <w:sz w:val="24"/>
              </w:rPr>
              <w:t>抢抓“双碳”战略机遇，持续深耕新能源赛道，在</w:t>
            </w:r>
            <w:r>
              <w:rPr>
                <w:rFonts w:hint="eastAsia"/>
                <w:b w:val="0"/>
                <w:bCs w:val="0"/>
                <w:sz w:val="24"/>
                <w:lang w:val="en-US" w:eastAsia="zh-CN"/>
              </w:rPr>
              <w:t>CCUS</w:t>
            </w:r>
            <w:r>
              <w:rPr>
                <w:rFonts w:hint="eastAsia"/>
                <w:b w:val="0"/>
                <w:bCs w:val="0"/>
                <w:sz w:val="24"/>
              </w:rPr>
              <w:t>领域，公司充分发挥能源化工装备研发制造优势，研制了二氧化碳捕集阶段和合成利用阶段的核心装置，承接了全球最大CCUS项目首台（套）重大技术装备示范项目—华能清能院碳捕集工程塔器及附属设备，具有重大的引领示范效应。近日，</w:t>
            </w:r>
            <w:r>
              <w:rPr>
                <w:rFonts w:hint="eastAsia"/>
                <w:b w:val="0"/>
                <w:bCs w:val="0"/>
                <w:sz w:val="24"/>
                <w:lang w:val="en-US" w:eastAsia="zh-CN"/>
              </w:rPr>
              <w:t>公司</w:t>
            </w:r>
            <w:r>
              <w:rPr>
                <w:rFonts w:hint="eastAsia"/>
                <w:b w:val="0"/>
                <w:bCs w:val="0"/>
                <w:sz w:val="24"/>
              </w:rPr>
              <w:t>获得新疆油田264万千瓦新能源及配套煤电、碳捕集一体化项目（一期）碳捕集项目8台关键设备制造订单</w:t>
            </w:r>
            <w:r>
              <w:rPr>
                <w:rFonts w:hint="eastAsia"/>
                <w:b w:val="0"/>
                <w:bCs w:val="0"/>
                <w:sz w:val="24"/>
                <w:lang w:eastAsia="zh-CN"/>
              </w:rPr>
              <w:t>，在CCUS领域再添新业绩。</w:t>
            </w:r>
          </w:p>
        </w:tc>
      </w:tr>
      <w:tr w14:paraId="2AF3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01" w:type="dxa"/>
            <w:vAlign w:val="center"/>
          </w:tcPr>
          <w:p w14:paraId="2F111554">
            <w:pPr>
              <w:spacing w:line="360" w:lineRule="auto"/>
              <w:jc w:val="center"/>
              <w:rPr>
                <w:bCs/>
                <w:iCs/>
                <w:color w:val="000000"/>
                <w:sz w:val="24"/>
              </w:rPr>
            </w:pPr>
            <w:r>
              <w:rPr>
                <w:bCs/>
                <w:iCs/>
                <w:color w:val="000000"/>
                <w:sz w:val="24"/>
              </w:rPr>
              <w:t>附件清单</w:t>
            </w:r>
          </w:p>
        </w:tc>
        <w:tc>
          <w:tcPr>
            <w:tcW w:w="6751" w:type="dxa"/>
            <w:vAlign w:val="center"/>
          </w:tcPr>
          <w:p w14:paraId="78EBC426">
            <w:pPr>
              <w:spacing w:line="360" w:lineRule="auto"/>
              <w:jc w:val="center"/>
              <w:rPr>
                <w:bCs/>
                <w:iCs/>
                <w:color w:val="000000"/>
                <w:sz w:val="24"/>
              </w:rPr>
            </w:pPr>
            <w:r>
              <w:rPr>
                <w:bCs/>
                <w:iCs/>
                <w:color w:val="000000"/>
                <w:sz w:val="24"/>
              </w:rPr>
              <w:t>无</w:t>
            </w:r>
          </w:p>
        </w:tc>
      </w:tr>
      <w:tr w14:paraId="3A65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01" w:type="dxa"/>
            <w:vAlign w:val="center"/>
          </w:tcPr>
          <w:p w14:paraId="21FE3653">
            <w:pPr>
              <w:spacing w:line="360" w:lineRule="auto"/>
              <w:jc w:val="center"/>
              <w:rPr>
                <w:bCs/>
                <w:iCs/>
                <w:color w:val="000000"/>
                <w:sz w:val="24"/>
              </w:rPr>
            </w:pPr>
            <w:r>
              <w:rPr>
                <w:bCs/>
                <w:iCs/>
                <w:color w:val="000000"/>
                <w:sz w:val="24"/>
              </w:rPr>
              <w:t>日期</w:t>
            </w:r>
          </w:p>
        </w:tc>
        <w:tc>
          <w:tcPr>
            <w:tcW w:w="6751" w:type="dxa"/>
            <w:vAlign w:val="center"/>
          </w:tcPr>
          <w:p w14:paraId="2C2DB8D6">
            <w:pPr>
              <w:spacing w:line="360" w:lineRule="auto"/>
              <w:jc w:val="center"/>
              <w:rPr>
                <w:bCs/>
                <w:iCs/>
                <w:color w:val="000000"/>
                <w:sz w:val="24"/>
              </w:rPr>
            </w:pPr>
            <w:r>
              <w:rPr>
                <w:bCs/>
                <w:iCs/>
                <w:color w:val="000000"/>
                <w:sz w:val="24"/>
              </w:rPr>
              <w:t>202</w:t>
            </w:r>
            <w:r>
              <w:rPr>
                <w:rFonts w:hint="eastAsia"/>
                <w:bCs/>
                <w:iCs/>
                <w:color w:val="000000"/>
                <w:sz w:val="24"/>
              </w:rPr>
              <w:t>5</w:t>
            </w:r>
            <w:r>
              <w:rPr>
                <w:bCs/>
                <w:iCs/>
                <w:color w:val="000000"/>
                <w:sz w:val="24"/>
              </w:rPr>
              <w:t>年</w:t>
            </w:r>
            <w:r>
              <w:rPr>
                <w:rFonts w:hint="eastAsia"/>
                <w:bCs/>
                <w:iCs/>
                <w:color w:val="000000"/>
                <w:sz w:val="24"/>
              </w:rPr>
              <w:t>7</w:t>
            </w:r>
            <w:r>
              <w:rPr>
                <w:bCs/>
                <w:iCs/>
                <w:color w:val="000000"/>
                <w:sz w:val="24"/>
              </w:rPr>
              <w:t>月</w:t>
            </w:r>
            <w:r>
              <w:rPr>
                <w:rFonts w:hint="eastAsia"/>
                <w:bCs/>
                <w:iCs/>
                <w:color w:val="000000"/>
                <w:sz w:val="24"/>
                <w:lang w:val="en-US" w:eastAsia="zh-CN"/>
              </w:rPr>
              <w:t>9</w:t>
            </w:r>
            <w:r>
              <w:rPr>
                <w:bCs/>
                <w:iCs/>
                <w:color w:val="000000"/>
                <w:sz w:val="24"/>
              </w:rPr>
              <w:t>日</w:t>
            </w:r>
          </w:p>
        </w:tc>
      </w:tr>
    </w:tbl>
    <w:p w14:paraId="5C42C65B">
      <w:pPr>
        <w:spacing w:line="360" w:lineRule="auto"/>
        <w:jc w:val="left"/>
        <w:rPr>
          <w:bCs/>
          <w:iCs/>
          <w:color w:val="000000"/>
          <w:sz w:val="24"/>
        </w:rPr>
      </w:pPr>
    </w:p>
    <w:sectPr>
      <w:footerReference r:id="rId3" w:type="default"/>
      <w:pgSz w:w="11906" w:h="16838"/>
      <w:pgMar w:top="1134" w:right="1800" w:bottom="993" w:left="1800" w:header="851"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251118"/>
    </w:sdtPr>
    <w:sdtContent>
      <w:p w14:paraId="5B73F718">
        <w:pPr>
          <w:pStyle w:val="4"/>
          <w:jc w:val="cente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sdtContent>
  </w:sdt>
  <w:p w14:paraId="063C09D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720"/>
  <w:drawingGridHorizontalSpacing w:val="105"/>
  <w:drawingGridVerticalSpacing w:val="156"/>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BF"/>
    <w:rsid w:val="000C660F"/>
    <w:rsid w:val="000F4966"/>
    <w:rsid w:val="001D5161"/>
    <w:rsid w:val="00237FD5"/>
    <w:rsid w:val="00353D43"/>
    <w:rsid w:val="00381F6C"/>
    <w:rsid w:val="004A41FC"/>
    <w:rsid w:val="004E39DE"/>
    <w:rsid w:val="005159AD"/>
    <w:rsid w:val="007A01BF"/>
    <w:rsid w:val="007B1C4B"/>
    <w:rsid w:val="007E4197"/>
    <w:rsid w:val="008061D7"/>
    <w:rsid w:val="00C067B8"/>
    <w:rsid w:val="00C42083"/>
    <w:rsid w:val="00D14063"/>
    <w:rsid w:val="00E30EA0"/>
    <w:rsid w:val="00F12F1E"/>
    <w:rsid w:val="056B20F3"/>
    <w:rsid w:val="10725EA8"/>
    <w:rsid w:val="1E784581"/>
    <w:rsid w:val="360C1571"/>
    <w:rsid w:val="3E257B20"/>
    <w:rsid w:val="438F4F8C"/>
    <w:rsid w:val="47316473"/>
    <w:rsid w:val="55545990"/>
    <w:rsid w:val="59D32470"/>
    <w:rsid w:val="62AE21E1"/>
    <w:rsid w:val="69937090"/>
    <w:rsid w:val="73285567"/>
    <w:rsid w:val="7C984E7D"/>
    <w:rsid w:val="7DBF1731"/>
    <w:rsid w:val="7E30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nhideWhenUsed/>
    <w:qFormat/>
    <w:uiPriority w:val="99"/>
    <w:rPr>
      <w:b/>
      <w:bCs/>
    </w:rPr>
  </w:style>
  <w:style w:type="character" w:styleId="9">
    <w:name w:val="Hyperlink"/>
    <w:basedOn w:val="8"/>
    <w:qFormat/>
    <w:uiPriority w:val="0"/>
    <w:rPr>
      <w:color w:val="0000FF"/>
      <w:u w:val="single"/>
    </w:rPr>
  </w:style>
  <w:style w:type="character" w:styleId="10">
    <w:name w:val="annotation reference"/>
    <w:basedOn w:val="8"/>
    <w:link w:val="11"/>
    <w:unhideWhenUsed/>
    <w:qFormat/>
    <w:uiPriority w:val="0"/>
    <w:rPr>
      <w:sz w:val="21"/>
      <w:szCs w:val="21"/>
    </w:rPr>
  </w:style>
  <w:style w:type="paragraph" w:customStyle="1" w:styleId="11">
    <w:name w:val="_Style 139"/>
    <w:basedOn w:val="1"/>
    <w:link w:val="10"/>
    <w:qFormat/>
    <w:uiPriority w:val="0"/>
    <w:pPr>
      <w:spacing w:after="120"/>
    </w:pPr>
    <w:rPr>
      <w:rFonts w:ascii="Calibri" w:hAnsi="Calibri" w:eastAsia="微软雅黑"/>
      <w:kern w:val="0"/>
      <w:szCs w:val="21"/>
    </w:rPr>
  </w:style>
  <w:style w:type="character" w:customStyle="1" w:styleId="12">
    <w:name w:val="页眉 Char"/>
    <w:basedOn w:val="8"/>
    <w:link w:val="5"/>
    <w:qFormat/>
    <w:uiPriority w:val="0"/>
    <w:rPr>
      <w:rFonts w:ascii="Times New Roman" w:hAnsi="Times New Roman" w:eastAsia="宋体"/>
      <w:kern w:val="2"/>
      <w:sz w:val="18"/>
      <w:szCs w:val="18"/>
    </w:rPr>
  </w:style>
  <w:style w:type="character" w:customStyle="1" w:styleId="13">
    <w:name w:val="页脚 Char"/>
    <w:basedOn w:val="8"/>
    <w:link w:val="4"/>
    <w:qFormat/>
    <w:uiPriority w:val="99"/>
    <w:rPr>
      <w:rFonts w:ascii="Times New Roman" w:hAnsi="Times New Roman" w:eastAsia="宋体"/>
      <w:kern w:val="2"/>
      <w:sz w:val="18"/>
      <w:szCs w:val="18"/>
    </w:rPr>
  </w:style>
  <w:style w:type="character" w:customStyle="1" w:styleId="14">
    <w:name w:val="批注框文本 Char"/>
    <w:basedOn w:val="8"/>
    <w:link w:val="3"/>
    <w:semiHidden/>
    <w:qFormat/>
    <w:uiPriority w:val="99"/>
    <w:rPr>
      <w:rFonts w:ascii="Times New Roman" w:hAnsi="Times New Roman" w:eastAsia="宋体"/>
      <w:kern w:val="2"/>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列出段落1"/>
    <w:basedOn w:val="1"/>
    <w:qFormat/>
    <w:uiPriority w:val="34"/>
    <w:pPr>
      <w:ind w:firstLine="420" w:firstLineChars="200"/>
    </w:pPr>
  </w:style>
  <w:style w:type="character" w:customStyle="1" w:styleId="17">
    <w:name w:val="批注文字 Char"/>
    <w:basedOn w:val="8"/>
    <w:link w:val="2"/>
    <w:semiHidden/>
    <w:qFormat/>
    <w:uiPriority w:val="99"/>
    <w:rPr>
      <w:rFonts w:ascii="Times New Roman" w:hAnsi="Times New Roman" w:eastAsia="宋体"/>
      <w:kern w:val="2"/>
      <w:sz w:val="21"/>
      <w:szCs w:val="24"/>
    </w:rPr>
  </w:style>
  <w:style w:type="character" w:customStyle="1" w:styleId="18">
    <w:name w:val="批注主题 Char"/>
    <w:basedOn w:val="17"/>
    <w:link w:val="6"/>
    <w:semiHidden/>
    <w:qFormat/>
    <w:uiPriority w:val="99"/>
    <w:rPr>
      <w:rFonts w:ascii="Times New Roman" w:hAnsi="Times New Roman" w:eastAsia="宋体"/>
      <w:b/>
      <w:bCs/>
      <w:kern w:val="2"/>
      <w:sz w:val="21"/>
      <w:szCs w:val="24"/>
    </w:rPr>
  </w:style>
  <w:style w:type="character" w:customStyle="1" w:styleId="19">
    <w:name w:val="批注文字 Char3"/>
    <w:basedOn w:val="8"/>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www.sdwmbbs.com</Company>
  <Pages>3</Pages>
  <Words>1739</Words>
  <Characters>1875</Characters>
  <Lines>12</Lines>
  <Paragraphs>3</Paragraphs>
  <TotalTime>13</TotalTime>
  <ScaleCrop>false</ScaleCrop>
  <LinksUpToDate>false</LinksUpToDate>
  <CharactersWithSpaces>2042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2025-07-03T08:05:00Z</dcterms:created>
  <dc:creator>深度完美技术论坛</dc:creator>
  <cp:lastModifiedBy>wxx</cp:lastModifiedBy>
  <cp:lastPrinted>2025-06-26T08:49:00Z</cp:lastPrinted>
  <dcterms:modified xsi:type="dcterms:W3CDTF">2025-07-09T09:37:58Z</dcterms:modified>
  <dc:title>证券代码： 300219                                  证券简称：鸿利光电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D4A3DE488E5F482A83F788C64DB8379E_13</vt:lpwstr>
  </property>
  <property fmtid="{D5CDD505-2E9C-101B-9397-08002B2CF9AE}" pid="4" name="KSOTemplateDocerSaveRecord">
    <vt:lpwstr>eyJoZGlkIjoiNjQwMmUyMzE5NDRmMGM3YzY1YmNhZGJjMDRjOTBiODEiLCJ1c2VySWQiOiI2NjQ2OTg1NjEifQ==</vt:lpwstr>
  </property>
</Properties>
</file>