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D4FC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bCs/>
          <w:w w:val="95"/>
          <w:sz w:val="24"/>
        </w:rPr>
      </w:pPr>
      <w:r>
        <w:rPr>
          <w:rFonts w:hint="eastAsia" w:ascii="Times New Roman" w:hAnsi="Times New Roman" w:eastAsia="宋体" w:cs="宋体"/>
          <w:bCs/>
          <w:w w:val="95"/>
          <w:sz w:val="24"/>
        </w:rPr>
        <w:t xml:space="preserve">证券简称：江苏华辰                                 </w:t>
      </w:r>
      <w:r>
        <w:rPr>
          <w:rFonts w:hint="eastAsia" w:ascii="Times New Roman" w:hAnsi="Times New Roman" w:cs="宋体"/>
          <w:bCs/>
          <w:w w:val="95"/>
          <w:sz w:val="24"/>
          <w:lang w:val="en-US" w:eastAsia="zh-CN"/>
        </w:rPr>
        <w:t xml:space="preserve">   </w:t>
      </w:r>
      <w:r>
        <w:rPr>
          <w:rFonts w:hint="eastAsia" w:ascii="Times New Roman" w:hAnsi="Times New Roman" w:eastAsia="宋体" w:cs="宋体"/>
          <w:bCs/>
          <w:w w:val="95"/>
          <w:sz w:val="24"/>
        </w:rPr>
        <w:t xml:space="preserve">         证券代码：603097</w:t>
      </w:r>
    </w:p>
    <w:p w14:paraId="6C93DE4E">
      <w:pPr>
        <w:spacing w:before="31" w:beforeLines="10" w:line="360" w:lineRule="auto"/>
        <w:jc w:val="center"/>
        <w:rPr>
          <w:rFonts w:ascii="宋体" w:hAnsi="宋体" w:cs="宋体"/>
          <w:b/>
          <w:w w:val="95"/>
          <w:sz w:val="32"/>
          <w:szCs w:val="32"/>
        </w:rPr>
      </w:pPr>
    </w:p>
    <w:p w14:paraId="0FC53531">
      <w:pPr>
        <w:spacing w:before="31" w:beforeLines="10" w:line="360" w:lineRule="auto"/>
        <w:jc w:val="center"/>
        <w:rPr>
          <w:rFonts w:ascii="黑体" w:hAnsi="黑体" w:eastAsia="黑体" w:cs="黑体"/>
          <w:b/>
          <w:w w:val="95"/>
          <w:sz w:val="36"/>
          <w:szCs w:val="36"/>
        </w:rPr>
      </w:pPr>
      <w:r>
        <w:rPr>
          <w:rFonts w:hint="eastAsia" w:ascii="黑体" w:hAnsi="黑体" w:eastAsia="黑体" w:cs="黑体"/>
          <w:b/>
          <w:w w:val="95"/>
          <w:sz w:val="36"/>
          <w:szCs w:val="36"/>
        </w:rPr>
        <w:t>江苏华辰变压器股份有限公司</w:t>
      </w:r>
    </w:p>
    <w:p w14:paraId="576168C9">
      <w:pPr>
        <w:spacing w:line="360" w:lineRule="auto"/>
        <w:jc w:val="center"/>
        <w:rPr>
          <w:rFonts w:ascii="黑体" w:hAnsi="黑体" w:eastAsia="黑体" w:cs="黑体"/>
          <w:b/>
          <w:w w:val="95"/>
          <w:kern w:val="0"/>
          <w:sz w:val="36"/>
          <w:szCs w:val="36"/>
        </w:rPr>
      </w:pPr>
      <w:r>
        <w:rPr>
          <w:rFonts w:hint="eastAsia" w:ascii="黑体" w:hAnsi="黑体" w:eastAsia="黑体" w:cs="黑体"/>
          <w:b/>
          <w:w w:val="95"/>
          <w:kern w:val="0"/>
          <w:sz w:val="36"/>
          <w:szCs w:val="36"/>
        </w:rPr>
        <w:t>投资者关系活动记录表</w:t>
      </w:r>
    </w:p>
    <w:p w14:paraId="48B888EC">
      <w:pPr>
        <w:tabs>
          <w:tab w:val="left" w:pos="6106"/>
        </w:tabs>
        <w:spacing w:before="156" w:beforeLines="50" w:after="156" w:afterLines="50"/>
        <w:ind w:firstLine="241" w:firstLineChars="100"/>
        <w:jc w:val="right"/>
        <w:rPr>
          <w:rFonts w:hint="default" w:ascii="Times New Roman" w:hAnsi="Times New Roman" w:eastAsia="宋体" w:cs="宋体"/>
          <w:sz w:val="24"/>
          <w:highlight w:val="yellow"/>
          <w:lang w:val="en-US" w:eastAsia="zh-CN"/>
        </w:rPr>
      </w:pPr>
      <w:r>
        <w:rPr>
          <w:rFonts w:hint="eastAsia" w:ascii="Times New Roman" w:hAnsi="Times New Roman" w:cs="宋体"/>
          <w:b/>
          <w:bCs/>
          <w:sz w:val="24"/>
        </w:rPr>
        <w:t xml:space="preserve"> 编号</w:t>
      </w:r>
      <w:r>
        <w:rPr>
          <w:rFonts w:hint="eastAsia" w:ascii="Times New Roman" w:hAnsi="Times New Roman" w:cs="宋体"/>
          <w:b/>
          <w:bCs/>
          <w:sz w:val="24"/>
          <w:highlight w:val="none"/>
        </w:rPr>
        <w:t>：</w:t>
      </w:r>
      <w:r>
        <w:rPr>
          <w:rFonts w:ascii="Times New Roman" w:hAnsi="Times New Roman"/>
          <w:b/>
          <w:bCs/>
          <w:sz w:val="24"/>
          <w:highlight w:val="none"/>
        </w:rPr>
        <w:t>202</w:t>
      </w:r>
      <w:r>
        <w:rPr>
          <w:rFonts w:hint="eastAsia" w:ascii="Times New Roman" w:hAnsi="Times New Roman"/>
          <w:b/>
          <w:bCs/>
          <w:sz w:val="24"/>
          <w:highlight w:val="none"/>
          <w:lang w:val="en-US" w:eastAsia="zh-CN"/>
        </w:rPr>
        <w:t>5-002</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7825"/>
      </w:tblGrid>
      <w:tr w14:paraId="6D0C2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690" w:type="dxa"/>
            <w:tcBorders>
              <w:top w:val="single" w:color="auto" w:sz="12" w:space="0"/>
              <w:left w:val="single" w:color="auto" w:sz="12" w:space="0"/>
              <w:bottom w:val="single" w:color="auto" w:sz="4" w:space="0"/>
              <w:right w:val="single" w:color="auto" w:sz="4" w:space="0"/>
            </w:tcBorders>
            <w:vAlign w:val="center"/>
          </w:tcPr>
          <w:p w14:paraId="42D607D8">
            <w:pPr>
              <w:jc w:val="center"/>
              <w:rPr>
                <w:rFonts w:ascii="Times New Roman" w:hAnsi="Times New Roman" w:eastAsia="宋体" w:cs="宋体"/>
                <w:color w:val="auto"/>
                <w:sz w:val="24"/>
              </w:rPr>
            </w:pPr>
            <w:r>
              <w:rPr>
                <w:rFonts w:ascii="Times New Roman" w:hAnsi="Times New Roman" w:eastAsia="宋体" w:cs="宋体"/>
                <w:color w:val="auto"/>
                <w:sz w:val="24"/>
              </w:rPr>
              <w:t>投资者关系活动类别</w:t>
            </w:r>
          </w:p>
        </w:tc>
        <w:tc>
          <w:tcPr>
            <w:tcW w:w="7825" w:type="dxa"/>
            <w:tcBorders>
              <w:top w:val="single" w:color="auto" w:sz="12" w:space="0"/>
              <w:left w:val="single" w:color="auto" w:sz="4" w:space="0"/>
              <w:bottom w:val="single" w:color="auto" w:sz="4" w:space="0"/>
              <w:right w:val="single" w:color="auto" w:sz="12" w:space="0"/>
            </w:tcBorders>
            <w:vAlign w:val="center"/>
          </w:tcPr>
          <w:p w14:paraId="2A669469">
            <w:pPr>
              <w:widowControl/>
              <w:tabs>
                <w:tab w:val="left" w:pos="3480"/>
              </w:tabs>
              <w:spacing w:line="360" w:lineRule="auto"/>
              <w:rPr>
                <w:rFonts w:ascii="Times New Roman" w:hAnsi="Times New Roman" w:eastAsia="宋体" w:cs="宋体"/>
                <w:bCs/>
                <w:color w:val="auto"/>
                <w:sz w:val="24"/>
              </w:rPr>
            </w:pPr>
            <w:r>
              <w:rPr>
                <w:rFonts w:hint="eastAsia" w:ascii="Times New Roman" w:hAnsi="Times New Roman" w:eastAsia="宋体" w:cs="宋体"/>
                <w:bCs/>
                <w:color w:val="auto"/>
                <w:sz w:val="24"/>
              </w:rPr>
              <w:sym w:font="Wingdings 2" w:char="0052"/>
            </w:r>
            <w:r>
              <w:rPr>
                <w:rFonts w:hint="eastAsia" w:ascii="Times New Roman" w:hAnsi="Times New Roman" w:eastAsia="宋体" w:cs="宋体"/>
                <w:bCs/>
                <w:color w:val="auto"/>
                <w:sz w:val="24"/>
              </w:rPr>
              <w:t>特定对象调研</w:t>
            </w:r>
            <w:r>
              <w:rPr>
                <w:rFonts w:ascii="Times New Roman" w:hAnsi="Times New Roman" w:eastAsia="宋体" w:cs="宋体"/>
                <w:bCs/>
                <w:color w:val="auto"/>
                <w:sz w:val="24"/>
              </w:rPr>
              <w:t xml:space="preserve">   </w:t>
            </w:r>
            <w:r>
              <w:rPr>
                <w:rFonts w:hint="eastAsia" w:ascii="Times New Roman" w:hAnsi="Times New Roman" w:eastAsia="宋体" w:cs="宋体"/>
                <w:bCs/>
                <w:color w:val="auto"/>
                <w:sz w:val="24"/>
              </w:rPr>
              <w:sym w:font="Wingdings 2" w:char="00A3"/>
            </w:r>
            <w:r>
              <w:rPr>
                <w:rFonts w:hint="eastAsia" w:ascii="Times New Roman" w:hAnsi="Times New Roman" w:eastAsia="宋体" w:cs="宋体"/>
                <w:bCs/>
                <w:color w:val="auto"/>
                <w:sz w:val="24"/>
              </w:rPr>
              <w:t xml:space="preserve">分析师会议 </w:t>
            </w:r>
            <w:r>
              <w:rPr>
                <w:rFonts w:ascii="Times New Roman" w:hAnsi="Times New Roman" w:eastAsia="宋体" w:cs="宋体"/>
                <w:bCs/>
                <w:color w:val="auto"/>
                <w:sz w:val="24"/>
              </w:rPr>
              <w:t xml:space="preserve">     </w:t>
            </w:r>
            <w:r>
              <w:rPr>
                <w:rFonts w:hint="eastAsia" w:ascii="Times New Roman" w:hAnsi="Times New Roman" w:eastAsia="宋体" w:cs="宋体"/>
                <w:bCs/>
                <w:color w:val="auto"/>
                <w:sz w:val="24"/>
              </w:rPr>
              <w:t>□媒体采访</w:t>
            </w:r>
          </w:p>
          <w:p w14:paraId="684F2F72">
            <w:pPr>
              <w:widowControl/>
              <w:tabs>
                <w:tab w:val="left" w:pos="2040"/>
                <w:tab w:val="left" w:pos="3480"/>
              </w:tabs>
              <w:spacing w:line="360" w:lineRule="auto"/>
              <w:rPr>
                <w:rFonts w:ascii="Times New Roman" w:hAnsi="Times New Roman" w:eastAsia="宋体" w:cs="宋体"/>
                <w:bCs/>
                <w:color w:val="auto"/>
                <w:sz w:val="24"/>
              </w:rPr>
            </w:pPr>
            <w:r>
              <w:rPr>
                <w:rFonts w:hint="eastAsia" w:ascii="Times New Roman" w:hAnsi="Times New Roman" w:cs="宋体"/>
                <w:bCs/>
                <w:color w:val="auto"/>
                <w:sz w:val="24"/>
                <w:lang w:eastAsia="zh-CN"/>
              </w:rPr>
              <w:t>□</w:t>
            </w:r>
            <w:r>
              <w:rPr>
                <w:rFonts w:hint="eastAsia" w:ascii="Times New Roman" w:hAnsi="Times New Roman" w:eastAsia="宋体" w:cs="宋体"/>
                <w:bCs/>
                <w:color w:val="auto"/>
                <w:sz w:val="24"/>
              </w:rPr>
              <w:t>业绩说明会</w:t>
            </w:r>
            <w:r>
              <w:rPr>
                <w:rFonts w:ascii="Times New Roman" w:hAnsi="Times New Roman" w:eastAsia="宋体" w:cs="宋体"/>
                <w:bCs/>
                <w:color w:val="auto"/>
                <w:sz w:val="24"/>
              </w:rPr>
              <w:t xml:space="preserve">     </w:t>
            </w:r>
            <w:r>
              <w:rPr>
                <w:rFonts w:hint="eastAsia" w:ascii="Times New Roman" w:hAnsi="Times New Roman" w:eastAsia="宋体" w:cs="宋体"/>
                <w:bCs/>
                <w:color w:val="auto"/>
                <w:sz w:val="24"/>
              </w:rPr>
              <w:t xml:space="preserve">□新闻发布会 </w:t>
            </w:r>
            <w:r>
              <w:rPr>
                <w:rFonts w:ascii="Times New Roman" w:hAnsi="Times New Roman" w:eastAsia="宋体" w:cs="宋体"/>
                <w:bCs/>
                <w:color w:val="auto"/>
                <w:sz w:val="24"/>
              </w:rPr>
              <w:t xml:space="preserve">     </w:t>
            </w:r>
            <w:r>
              <w:rPr>
                <w:rFonts w:hint="eastAsia" w:ascii="Times New Roman" w:hAnsi="Times New Roman" w:eastAsia="宋体" w:cs="宋体"/>
                <w:bCs/>
                <w:color w:val="auto"/>
                <w:sz w:val="24"/>
              </w:rPr>
              <w:t>□路演活动</w:t>
            </w:r>
          </w:p>
          <w:p w14:paraId="06809DFA">
            <w:pPr>
              <w:spacing w:line="360" w:lineRule="auto"/>
              <w:rPr>
                <w:rFonts w:ascii="Times New Roman" w:hAnsi="Times New Roman" w:eastAsia="宋体" w:cs="宋体"/>
                <w:bCs/>
                <w:color w:val="auto"/>
                <w:sz w:val="24"/>
              </w:rPr>
            </w:pPr>
            <w:r>
              <w:rPr>
                <w:rFonts w:hint="eastAsia" w:ascii="Times New Roman" w:hAnsi="Times New Roman" w:eastAsia="宋体" w:cs="宋体"/>
                <w:bCs/>
                <w:color w:val="auto"/>
                <w:sz w:val="24"/>
              </w:rPr>
              <w:sym w:font="Wingdings 2" w:char="00A3"/>
            </w:r>
            <w:r>
              <w:rPr>
                <w:rFonts w:hint="eastAsia" w:ascii="Times New Roman" w:hAnsi="Times New Roman" w:eastAsia="宋体" w:cs="宋体"/>
                <w:bCs/>
                <w:color w:val="auto"/>
                <w:sz w:val="24"/>
              </w:rPr>
              <w:t>现场参观</w:t>
            </w:r>
            <w:r>
              <w:rPr>
                <w:rFonts w:ascii="Times New Roman" w:hAnsi="Times New Roman" w:eastAsia="宋体" w:cs="宋体"/>
                <w:bCs/>
                <w:color w:val="auto"/>
                <w:sz w:val="24"/>
              </w:rPr>
              <w:t xml:space="preserve">       </w:t>
            </w:r>
            <w:r>
              <w:rPr>
                <w:rFonts w:hint="eastAsia" w:ascii="Times New Roman" w:hAnsi="Times New Roman" w:eastAsia="宋体" w:cs="宋体"/>
                <w:bCs/>
                <w:color w:val="auto"/>
                <w:sz w:val="24"/>
              </w:rPr>
              <w:sym w:font="Wingdings 2" w:char="00A3"/>
            </w:r>
            <w:r>
              <w:rPr>
                <w:rFonts w:hint="eastAsia" w:ascii="Times New Roman" w:hAnsi="Times New Roman" w:eastAsia="宋体" w:cs="宋体"/>
                <w:bCs/>
                <w:color w:val="auto"/>
                <w:sz w:val="24"/>
              </w:rPr>
              <w:t xml:space="preserve">一对一沟通 </w:t>
            </w:r>
            <w:r>
              <w:rPr>
                <w:rFonts w:ascii="Times New Roman" w:hAnsi="Times New Roman" w:eastAsia="宋体" w:cs="宋体"/>
                <w:bCs/>
                <w:color w:val="auto"/>
                <w:sz w:val="24"/>
              </w:rPr>
              <w:t xml:space="preserve">     </w:t>
            </w:r>
            <w:r>
              <w:rPr>
                <w:rFonts w:hint="eastAsia" w:ascii="Times New Roman" w:hAnsi="Times New Roman" w:eastAsia="宋体" w:cs="宋体"/>
                <w:bCs/>
                <w:color w:val="auto"/>
                <w:sz w:val="24"/>
              </w:rPr>
              <w:sym w:font="Wingdings 2" w:char="00A3"/>
            </w:r>
            <w:r>
              <w:rPr>
                <w:rFonts w:hint="eastAsia" w:ascii="Times New Roman" w:hAnsi="Times New Roman" w:eastAsia="宋体" w:cs="宋体"/>
                <w:bCs/>
                <w:color w:val="auto"/>
                <w:sz w:val="24"/>
              </w:rPr>
              <w:t>其他</w:t>
            </w:r>
          </w:p>
        </w:tc>
      </w:tr>
      <w:tr w14:paraId="63161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690" w:type="dxa"/>
            <w:tcBorders>
              <w:top w:val="single" w:color="auto" w:sz="4" w:space="0"/>
              <w:left w:val="single" w:color="auto" w:sz="12" w:space="0"/>
              <w:bottom w:val="single" w:color="auto" w:sz="4" w:space="0"/>
              <w:right w:val="single" w:color="auto" w:sz="4" w:space="0"/>
            </w:tcBorders>
            <w:vAlign w:val="center"/>
          </w:tcPr>
          <w:p w14:paraId="5F8BB681">
            <w:pPr>
              <w:jc w:val="center"/>
              <w:rPr>
                <w:rFonts w:ascii="Times New Roman" w:hAnsi="Times New Roman" w:eastAsia="宋体" w:cs="宋体"/>
                <w:color w:val="auto"/>
                <w:sz w:val="24"/>
              </w:rPr>
            </w:pPr>
            <w:r>
              <w:rPr>
                <w:rFonts w:ascii="Times New Roman" w:hAnsi="Times New Roman" w:eastAsia="宋体" w:cs="宋体"/>
                <w:color w:val="auto"/>
                <w:sz w:val="24"/>
              </w:rPr>
              <w:t>参与单位</w:t>
            </w:r>
            <w:r>
              <w:rPr>
                <w:rFonts w:hint="eastAsia" w:ascii="Times New Roman" w:hAnsi="Times New Roman" w:eastAsia="宋体" w:cs="宋体"/>
                <w:color w:val="auto"/>
                <w:sz w:val="24"/>
              </w:rPr>
              <w:t>及人员</w:t>
            </w:r>
            <w:r>
              <w:rPr>
                <w:rFonts w:ascii="Times New Roman" w:hAnsi="Times New Roman" w:eastAsia="宋体" w:cs="宋体"/>
                <w:color w:val="auto"/>
                <w:sz w:val="24"/>
              </w:rPr>
              <w:t>名称</w:t>
            </w:r>
          </w:p>
        </w:tc>
        <w:tc>
          <w:tcPr>
            <w:tcW w:w="7825" w:type="dxa"/>
            <w:tcBorders>
              <w:top w:val="single" w:color="auto" w:sz="4" w:space="0"/>
              <w:left w:val="single" w:color="auto" w:sz="4" w:space="0"/>
              <w:bottom w:val="single" w:color="auto" w:sz="4" w:space="0"/>
              <w:right w:val="single" w:color="auto" w:sz="12" w:space="0"/>
            </w:tcBorders>
            <w:vAlign w:val="center"/>
          </w:tcPr>
          <w:p w14:paraId="25C213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textAlignment w:val="auto"/>
              <w:rPr>
                <w:rFonts w:hint="default" w:ascii="Times New Roman" w:hAnsi="Times New Roman" w:eastAsia="宋体" w:cs="宋体"/>
                <w:color w:val="auto"/>
                <w:sz w:val="24"/>
                <w:lang w:val="en-US" w:eastAsia="zh-CN"/>
              </w:rPr>
            </w:pPr>
            <w:r>
              <w:rPr>
                <w:rFonts w:hint="default" w:ascii="Times New Roman" w:hAnsi="Times New Roman" w:eastAsia="宋体" w:cs="宋体"/>
                <w:b w:val="0"/>
                <w:bCs w:val="0"/>
                <w:color w:val="auto"/>
                <w:sz w:val="24"/>
                <w:lang w:val="en-US" w:eastAsia="zh-CN"/>
              </w:rPr>
              <w:t>汇丰前海证券有限责任公司、未来资产环球投资（香港）有限公司、EAST CAPITAL、招商基金</w:t>
            </w:r>
          </w:p>
        </w:tc>
      </w:tr>
      <w:tr w14:paraId="074D97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690" w:type="dxa"/>
            <w:tcBorders>
              <w:top w:val="single" w:color="auto" w:sz="4" w:space="0"/>
              <w:left w:val="single" w:color="auto" w:sz="12" w:space="0"/>
              <w:bottom w:val="single" w:color="auto" w:sz="4" w:space="0"/>
              <w:right w:val="single" w:color="auto" w:sz="4" w:space="0"/>
            </w:tcBorders>
            <w:vAlign w:val="center"/>
          </w:tcPr>
          <w:p w14:paraId="7F3810BB">
            <w:pPr>
              <w:jc w:val="center"/>
              <w:rPr>
                <w:rFonts w:ascii="Times New Roman" w:hAnsi="Times New Roman" w:eastAsia="宋体" w:cs="宋体"/>
                <w:color w:val="auto"/>
                <w:sz w:val="24"/>
              </w:rPr>
            </w:pPr>
            <w:r>
              <w:rPr>
                <w:rFonts w:ascii="Times New Roman" w:hAnsi="Times New Roman" w:eastAsia="宋体" w:cs="宋体"/>
                <w:color w:val="auto"/>
                <w:sz w:val="24"/>
              </w:rPr>
              <w:t>时间</w:t>
            </w:r>
          </w:p>
        </w:tc>
        <w:tc>
          <w:tcPr>
            <w:tcW w:w="7825" w:type="dxa"/>
            <w:tcBorders>
              <w:top w:val="single" w:color="auto" w:sz="4" w:space="0"/>
              <w:left w:val="single" w:color="auto" w:sz="4" w:space="0"/>
              <w:bottom w:val="single" w:color="auto" w:sz="4" w:space="0"/>
              <w:right w:val="single" w:color="auto" w:sz="12" w:space="0"/>
            </w:tcBorders>
            <w:vAlign w:val="center"/>
          </w:tcPr>
          <w:p w14:paraId="3DB53DC8">
            <w:pPr>
              <w:spacing w:line="360" w:lineRule="auto"/>
              <w:rPr>
                <w:rFonts w:hint="default"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202</w:t>
            </w:r>
            <w:r>
              <w:rPr>
                <w:rFonts w:hint="eastAsia" w:ascii="Times New Roman" w:hAnsi="Times New Roman" w:cs="宋体"/>
                <w:color w:val="auto"/>
                <w:sz w:val="24"/>
                <w:lang w:val="en-US" w:eastAsia="zh-CN"/>
              </w:rPr>
              <w:t>5</w:t>
            </w:r>
            <w:r>
              <w:rPr>
                <w:rFonts w:ascii="Times New Roman" w:hAnsi="Times New Roman" w:eastAsia="宋体" w:cs="宋体"/>
                <w:color w:val="auto"/>
                <w:sz w:val="24"/>
              </w:rPr>
              <w:t>年</w:t>
            </w:r>
            <w:r>
              <w:rPr>
                <w:rFonts w:hint="eastAsia" w:ascii="Times New Roman" w:hAnsi="Times New Roman" w:cs="宋体"/>
                <w:color w:val="auto"/>
                <w:sz w:val="24"/>
                <w:lang w:val="en-US" w:eastAsia="zh-CN"/>
              </w:rPr>
              <w:t>7</w:t>
            </w:r>
            <w:r>
              <w:rPr>
                <w:rFonts w:ascii="Times New Roman" w:hAnsi="Times New Roman" w:eastAsia="宋体" w:cs="宋体"/>
                <w:color w:val="auto"/>
                <w:sz w:val="24"/>
              </w:rPr>
              <w:t>月</w:t>
            </w:r>
            <w:r>
              <w:rPr>
                <w:rFonts w:hint="eastAsia" w:ascii="Times New Roman" w:hAnsi="Times New Roman" w:cs="宋体"/>
                <w:color w:val="auto"/>
                <w:sz w:val="24"/>
                <w:lang w:val="en-US" w:eastAsia="zh-CN"/>
              </w:rPr>
              <w:t>9</w:t>
            </w:r>
            <w:r>
              <w:rPr>
                <w:rFonts w:ascii="Times New Roman" w:hAnsi="Times New Roman" w:eastAsia="宋体" w:cs="宋体"/>
                <w:color w:val="auto"/>
                <w:sz w:val="24"/>
              </w:rPr>
              <w:t xml:space="preserve">日   </w:t>
            </w:r>
            <w:r>
              <w:rPr>
                <w:rFonts w:hint="eastAsia" w:ascii="Times New Roman" w:hAnsi="Times New Roman" w:cs="宋体"/>
                <w:color w:val="auto"/>
                <w:sz w:val="24"/>
                <w:lang w:val="en-US" w:eastAsia="zh-CN"/>
              </w:rPr>
              <w:t>9:00-11:20</w:t>
            </w:r>
          </w:p>
        </w:tc>
      </w:tr>
      <w:tr w14:paraId="4571F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690" w:type="dxa"/>
            <w:tcBorders>
              <w:top w:val="single" w:color="auto" w:sz="4" w:space="0"/>
              <w:left w:val="single" w:color="auto" w:sz="12" w:space="0"/>
              <w:bottom w:val="single" w:color="auto" w:sz="4" w:space="0"/>
              <w:right w:val="single" w:color="auto" w:sz="4" w:space="0"/>
            </w:tcBorders>
            <w:vAlign w:val="center"/>
          </w:tcPr>
          <w:p w14:paraId="259F9095">
            <w:pPr>
              <w:jc w:val="center"/>
              <w:rPr>
                <w:rFonts w:ascii="Times New Roman" w:hAnsi="Times New Roman" w:eastAsia="宋体" w:cs="宋体"/>
                <w:color w:val="auto"/>
                <w:sz w:val="24"/>
              </w:rPr>
            </w:pPr>
            <w:r>
              <w:rPr>
                <w:rFonts w:ascii="Times New Roman" w:hAnsi="Times New Roman" w:eastAsia="宋体" w:cs="宋体"/>
                <w:color w:val="auto"/>
                <w:sz w:val="24"/>
              </w:rPr>
              <w:t>地点</w:t>
            </w:r>
          </w:p>
        </w:tc>
        <w:tc>
          <w:tcPr>
            <w:tcW w:w="7825" w:type="dxa"/>
            <w:tcBorders>
              <w:top w:val="single" w:color="auto" w:sz="4" w:space="0"/>
              <w:left w:val="single" w:color="auto" w:sz="4" w:space="0"/>
              <w:bottom w:val="single" w:color="auto" w:sz="4" w:space="0"/>
              <w:right w:val="single" w:color="auto" w:sz="12" w:space="0"/>
            </w:tcBorders>
            <w:vAlign w:val="center"/>
          </w:tcPr>
          <w:p w14:paraId="1C00C31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宋体"/>
                <w:color w:val="auto"/>
                <w:sz w:val="24"/>
                <w:lang w:val="en-US" w:eastAsia="zh-CN"/>
              </w:rPr>
            </w:pPr>
            <w:r>
              <w:rPr>
                <w:rFonts w:hint="eastAsia" w:ascii="Times New Roman" w:hAnsi="Times New Roman" w:eastAsia="宋体" w:cs="宋体"/>
                <w:color w:val="auto"/>
                <w:sz w:val="24"/>
              </w:rPr>
              <w:t>江苏华辰变压器股份有限公司</w:t>
            </w:r>
            <w:r>
              <w:rPr>
                <w:rFonts w:hint="eastAsia" w:ascii="Times New Roman" w:hAnsi="Times New Roman" w:eastAsia="宋体" w:cs="宋体"/>
                <w:color w:val="auto"/>
                <w:sz w:val="24"/>
                <w:lang w:val="en-US" w:eastAsia="zh-CN"/>
              </w:rPr>
              <w:t xml:space="preserve">  </w:t>
            </w:r>
            <w:r>
              <w:rPr>
                <w:rFonts w:hint="eastAsia" w:ascii="Times New Roman" w:hAnsi="Times New Roman" w:cs="宋体"/>
                <w:color w:val="auto"/>
                <w:sz w:val="24"/>
                <w:lang w:val="en-US" w:eastAsia="zh-CN"/>
              </w:rPr>
              <w:t xml:space="preserve"> 会议室</w:t>
            </w:r>
          </w:p>
        </w:tc>
      </w:tr>
      <w:tr w14:paraId="0C36A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1690" w:type="dxa"/>
            <w:tcBorders>
              <w:top w:val="single" w:color="auto" w:sz="4" w:space="0"/>
              <w:left w:val="single" w:color="auto" w:sz="12" w:space="0"/>
              <w:bottom w:val="single" w:color="auto" w:sz="4" w:space="0"/>
              <w:right w:val="single" w:color="auto" w:sz="4" w:space="0"/>
            </w:tcBorders>
            <w:vAlign w:val="center"/>
          </w:tcPr>
          <w:p w14:paraId="07B83B3B">
            <w:pPr>
              <w:jc w:val="center"/>
              <w:rPr>
                <w:rFonts w:ascii="Times New Roman" w:hAnsi="Times New Roman" w:eastAsia="宋体" w:cs="宋体"/>
                <w:color w:val="auto"/>
                <w:sz w:val="24"/>
              </w:rPr>
            </w:pPr>
            <w:r>
              <w:rPr>
                <w:rFonts w:ascii="Times New Roman" w:hAnsi="Times New Roman" w:eastAsia="宋体" w:cs="宋体"/>
                <w:color w:val="auto"/>
                <w:sz w:val="24"/>
              </w:rPr>
              <w:t>公司接待人员姓名</w:t>
            </w:r>
          </w:p>
        </w:tc>
        <w:tc>
          <w:tcPr>
            <w:tcW w:w="7825" w:type="dxa"/>
            <w:tcBorders>
              <w:top w:val="single" w:color="auto" w:sz="4" w:space="0"/>
              <w:left w:val="single" w:color="auto" w:sz="4" w:space="0"/>
              <w:bottom w:val="single" w:color="auto" w:sz="4" w:space="0"/>
              <w:right w:val="single" w:color="auto" w:sz="12" w:space="0"/>
            </w:tcBorders>
            <w:vAlign w:val="center"/>
          </w:tcPr>
          <w:p w14:paraId="341A6C91">
            <w:pPr>
              <w:spacing w:line="360" w:lineRule="auto"/>
              <w:rPr>
                <w:rFonts w:ascii="Times New Roman" w:hAnsi="Times New Roman" w:eastAsia="宋体" w:cs="宋体"/>
                <w:color w:val="auto"/>
                <w:sz w:val="24"/>
              </w:rPr>
            </w:pPr>
            <w:r>
              <w:rPr>
                <w:rFonts w:hint="eastAsia" w:ascii="Times New Roman" w:hAnsi="Times New Roman" w:eastAsia="宋体" w:cs="宋体"/>
                <w:color w:val="auto"/>
                <w:sz w:val="24"/>
              </w:rPr>
              <w:t>董事长、总经理：张孝金先生</w:t>
            </w:r>
          </w:p>
          <w:p w14:paraId="5FD59445">
            <w:pPr>
              <w:spacing w:line="360" w:lineRule="auto"/>
              <w:rPr>
                <w:rFonts w:ascii="Times New Roman" w:hAnsi="Times New Roman" w:eastAsia="宋体" w:cs="宋体"/>
                <w:color w:val="auto"/>
                <w:sz w:val="24"/>
              </w:rPr>
            </w:pPr>
            <w:r>
              <w:rPr>
                <w:rFonts w:hint="eastAsia" w:ascii="Times New Roman" w:hAnsi="Times New Roman" w:eastAsia="宋体" w:cs="宋体"/>
                <w:color w:val="auto"/>
                <w:sz w:val="24"/>
              </w:rPr>
              <w:t xml:space="preserve">董事、副总经理、董事会秘书、财务总监：杜秀梅女士 </w:t>
            </w:r>
          </w:p>
          <w:p w14:paraId="27823B24">
            <w:pPr>
              <w:spacing w:line="360" w:lineRule="auto"/>
              <w:rPr>
                <w:rFonts w:hint="eastAsia" w:ascii="Times New Roman" w:hAnsi="Times New Roman" w:eastAsia="宋体" w:cs="宋体"/>
                <w:color w:val="auto"/>
                <w:sz w:val="24"/>
                <w:highlight w:val="none"/>
              </w:rPr>
            </w:pPr>
            <w:r>
              <w:rPr>
                <w:rFonts w:ascii="Times New Roman" w:hAnsi="Times New Roman" w:eastAsia="宋体" w:cs="宋体"/>
                <w:color w:val="auto"/>
                <w:sz w:val="24"/>
              </w:rPr>
              <w:t>副总经理</w:t>
            </w:r>
            <w:r>
              <w:rPr>
                <w:rFonts w:hint="eastAsia" w:ascii="Times New Roman" w:hAnsi="Times New Roman" w:eastAsia="宋体" w:cs="宋体"/>
                <w:color w:val="auto"/>
                <w:sz w:val="24"/>
                <w:highlight w:val="none"/>
              </w:rPr>
              <w:t>：</w:t>
            </w:r>
            <w:r>
              <w:rPr>
                <w:rFonts w:hint="eastAsia" w:ascii="Times New Roman" w:hAnsi="Times New Roman" w:cs="宋体"/>
                <w:color w:val="auto"/>
                <w:sz w:val="24"/>
                <w:highlight w:val="none"/>
                <w:lang w:val="en-US" w:eastAsia="zh-CN"/>
              </w:rPr>
              <w:t>李刚</w:t>
            </w:r>
            <w:r>
              <w:rPr>
                <w:rFonts w:hint="eastAsia" w:ascii="Times New Roman" w:hAnsi="Times New Roman" w:eastAsia="宋体" w:cs="宋体"/>
                <w:color w:val="auto"/>
                <w:sz w:val="24"/>
                <w:highlight w:val="none"/>
              </w:rPr>
              <w:t>先生</w:t>
            </w:r>
          </w:p>
          <w:p w14:paraId="118FCEEC">
            <w:pPr>
              <w:spacing w:line="360" w:lineRule="auto"/>
              <w:rPr>
                <w:rFonts w:ascii="Times New Roman" w:hAnsi="Times New Roman" w:eastAsia="宋体" w:cs="宋体"/>
                <w:color w:val="auto"/>
                <w:sz w:val="24"/>
              </w:rPr>
            </w:pPr>
            <w:r>
              <w:rPr>
                <w:rFonts w:hint="eastAsia" w:ascii="Times New Roman" w:hAnsi="Times New Roman" w:eastAsia="宋体" w:cs="宋体"/>
                <w:color w:val="auto"/>
                <w:sz w:val="24"/>
              </w:rPr>
              <w:t>证券事务代表：赵青女士</w:t>
            </w:r>
          </w:p>
        </w:tc>
      </w:tr>
      <w:tr w14:paraId="10A8C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0" w:type="dxa"/>
            <w:tcBorders>
              <w:top w:val="single" w:color="auto" w:sz="4" w:space="0"/>
              <w:left w:val="single" w:color="auto" w:sz="12" w:space="0"/>
              <w:bottom w:val="single" w:color="auto" w:sz="4" w:space="0"/>
              <w:right w:val="single" w:color="auto" w:sz="4" w:space="0"/>
            </w:tcBorders>
            <w:vAlign w:val="center"/>
          </w:tcPr>
          <w:p w14:paraId="51E75022">
            <w:pPr>
              <w:jc w:val="center"/>
              <w:rPr>
                <w:rFonts w:ascii="Times New Roman" w:hAnsi="Times New Roman" w:eastAsia="宋体" w:cs="宋体"/>
                <w:color w:val="auto"/>
                <w:sz w:val="24"/>
              </w:rPr>
            </w:pPr>
            <w:r>
              <w:rPr>
                <w:rFonts w:ascii="Times New Roman" w:hAnsi="Times New Roman" w:eastAsia="宋体" w:cs="宋体"/>
                <w:color w:val="auto"/>
                <w:sz w:val="24"/>
              </w:rPr>
              <w:t>投资者关系活动主要内容介绍</w:t>
            </w:r>
          </w:p>
        </w:tc>
        <w:tc>
          <w:tcPr>
            <w:tcW w:w="7825" w:type="dxa"/>
            <w:tcBorders>
              <w:top w:val="single" w:color="auto" w:sz="4" w:space="0"/>
              <w:left w:val="single" w:color="auto" w:sz="4" w:space="0"/>
              <w:bottom w:val="single" w:color="auto" w:sz="4" w:space="0"/>
              <w:right w:val="single" w:color="auto" w:sz="12" w:space="0"/>
            </w:tcBorders>
            <w:vAlign w:val="center"/>
          </w:tcPr>
          <w:p w14:paraId="0A043751">
            <w:pPr>
              <w:keepNext w:val="0"/>
              <w:pageBreakBefore w:val="0"/>
              <w:widowControl/>
              <w:numPr>
                <w:ilvl w:val="0"/>
                <w:numId w:val="1"/>
              </w:numPr>
              <w:kinsoku/>
              <w:wordWrap/>
              <w:overflowPunct/>
              <w:topLinePunct w:val="0"/>
              <w:bidi w:val="0"/>
              <w:adjustRightInd/>
              <w:snapToGrid/>
              <w:spacing w:line="360" w:lineRule="auto"/>
              <w:ind w:firstLine="482" w:firstLineChars="200"/>
              <w:jc w:val="left"/>
              <w:textAlignment w:val="auto"/>
              <w:rPr>
                <w:rFonts w:ascii="Times New Roman" w:hAnsi="Times New Roman"/>
                <w:b/>
                <w:bCs/>
                <w:sz w:val="24"/>
              </w:rPr>
            </w:pPr>
            <w:r>
              <w:rPr>
                <w:rFonts w:hint="eastAsia" w:ascii="Times New Roman" w:hAnsi="Times New Roman"/>
                <w:b/>
                <w:bCs/>
                <w:sz w:val="24"/>
                <w:lang w:eastAsia="zh-CN"/>
              </w:rPr>
              <w:t>参观公司</w:t>
            </w:r>
          </w:p>
          <w:p w14:paraId="659ECF2B">
            <w:pPr>
              <w:keepNext w:val="0"/>
              <w:pageBreakBefore w:val="0"/>
              <w:widowControl/>
              <w:numPr>
                <w:ilvl w:val="0"/>
                <w:numId w:val="1"/>
              </w:numPr>
              <w:kinsoku/>
              <w:wordWrap/>
              <w:overflowPunct/>
              <w:topLinePunct w:val="0"/>
              <w:bidi w:val="0"/>
              <w:adjustRightInd/>
              <w:snapToGrid/>
              <w:spacing w:line="360" w:lineRule="auto"/>
              <w:ind w:firstLine="482" w:firstLineChars="200"/>
              <w:jc w:val="left"/>
              <w:textAlignment w:val="auto"/>
              <w:rPr>
                <w:rFonts w:ascii="Times New Roman" w:hAnsi="Times New Roman"/>
                <w:b/>
                <w:bCs/>
                <w:sz w:val="24"/>
              </w:rPr>
            </w:pPr>
            <w:r>
              <w:rPr>
                <w:rFonts w:hint="eastAsia" w:ascii="Times New Roman" w:hAnsi="Times New Roman"/>
                <w:b/>
                <w:bCs/>
                <w:sz w:val="24"/>
              </w:rPr>
              <w:t>问答交流</w:t>
            </w:r>
          </w:p>
          <w:p w14:paraId="24276823">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2" w:firstLineChars="200"/>
              <w:textAlignment w:val="auto"/>
              <w:outlineLvl w:val="1"/>
              <w:rPr>
                <w:rFonts w:hint="eastAsia" w:ascii="宋体" w:hAnsi="宋体" w:eastAsia="宋体" w:cs="宋体"/>
                <w:b/>
                <w:bCs/>
                <w:sz w:val="24"/>
              </w:rPr>
            </w:pPr>
            <w:bookmarkStart w:id="0" w:name="_Toc200724470"/>
            <w:r>
              <w:rPr>
                <w:rFonts w:hint="eastAsia" w:ascii="宋体" w:hAnsi="宋体" w:eastAsia="宋体" w:cs="宋体"/>
                <w:b/>
                <w:bCs/>
                <w:sz w:val="24"/>
                <w:lang w:val="en-US" w:eastAsia="zh-CN"/>
              </w:rPr>
              <w:t>1、</w:t>
            </w:r>
            <w:r>
              <w:rPr>
                <w:rFonts w:hint="eastAsia" w:ascii="宋体" w:hAnsi="宋体" w:eastAsia="宋体" w:cs="宋体"/>
                <w:b/>
                <w:bCs/>
                <w:sz w:val="24"/>
              </w:rPr>
              <w:t>公司所处行业未来发展前景如何？</w:t>
            </w:r>
            <w:bookmarkEnd w:id="0"/>
          </w:p>
          <w:p w14:paraId="3B09D96F">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both"/>
              <w:textAlignment w:val="auto"/>
              <w:rPr>
                <w:rFonts w:hint="default" w:ascii="Times New Roman" w:hAnsi="Times New Roman" w:eastAsia="宋体"/>
                <w:b/>
                <w:bCs/>
                <w:sz w:val="24"/>
                <w:lang w:val="en-US" w:eastAsia="zh-CN"/>
              </w:rPr>
            </w:pPr>
            <w:r>
              <w:rPr>
                <w:rFonts w:hint="eastAsia" w:ascii="Times New Roman" w:hAnsi="Times New Roman" w:eastAsia="宋体" w:cs="宋体"/>
                <w:b/>
                <w:bCs/>
                <w:sz w:val="24"/>
                <w:lang w:eastAsia="zh-CN"/>
              </w:rPr>
              <w:t>回复：</w:t>
            </w:r>
            <w:r>
              <w:rPr>
                <w:rFonts w:hint="default" w:ascii="Times New Roman" w:hAnsi="Times New Roman" w:eastAsia="宋体"/>
                <w:sz w:val="24"/>
                <w:lang w:val="en-US"/>
              </w:rPr>
              <w:t>尊敬的投资者，您好！</w:t>
            </w:r>
            <w:r>
              <w:rPr>
                <w:rFonts w:hint="eastAsia" w:ascii="Times New Roman" w:hAnsi="Times New Roman" w:eastAsia="宋体"/>
                <w:sz w:val="24"/>
                <w:szCs w:val="24"/>
                <w:shd w:val="clear" w:color="auto" w:fill="FFFFFF"/>
              </w:rPr>
              <w:t>输配电及控制设备行业作为电力工业的重要环节，其发展与国家能源战略、电网建设、清洁能源发展等方面息息相关。</w:t>
            </w:r>
            <w:r>
              <w:rPr>
                <w:rFonts w:hint="default" w:ascii="Times New Roman" w:hAnsi="Times New Roman" w:eastAsia="宋体"/>
                <w:sz w:val="24"/>
                <w:lang w:val="en-US"/>
              </w:rPr>
              <w:t>国家能源局组织发布《新型电力系统发展蓝皮书》锚定“3060”战略目标，以2030年、2045年、2060年为构建新型电力系统的重要时间节点，制定新型电力系统“三步走”发展路径，即加速转型期（当前至2030年）、总体形成期（2030年至2045年）、巩固完善期（2045年至2060年），有计划、分步骤推进新型电力系统建设。依据《风能北京宣言》的规划，2025年后中国风电年均新增装机应不低于60GW（6,000万千瓦），2030年至少达到8亿千瓦。《2024-2028年中国光伏行业大数据分析报告》指出，在接下来的五年（2024-2028年）间，中国太阳能发电的累计装机容量预计将以大约20%的年均复合增长率增长。同时，根据CNESA（中关村储能产业技术联盟）的预测，从2024年至2030年，储能行业的复合年均增长率将达到37.1%。我国风能、光伏和储能行业在近年来的市场发展呈现出良好的增长态势，并且预计未来将继续保持这一趋势。</w:t>
            </w:r>
          </w:p>
          <w:p w14:paraId="0CAF6698">
            <w:pPr>
              <w:keepNext w:val="0"/>
              <w:keepLines w:val="0"/>
              <w:pageBreakBefore w:val="0"/>
              <w:kinsoku/>
              <w:wordWrap/>
              <w:overflowPunct/>
              <w:topLinePunct w:val="0"/>
              <w:autoSpaceDE/>
              <w:autoSpaceDN/>
              <w:bidi w:val="0"/>
              <w:adjustRightInd/>
              <w:snapToGrid/>
              <w:spacing w:before="157" w:beforeLines="50" w:beforeAutospacing="0" w:afterAutospacing="0" w:line="360" w:lineRule="auto"/>
              <w:ind w:firstLine="482" w:firstLineChars="200"/>
              <w:jc w:val="both"/>
              <w:textAlignment w:val="auto"/>
              <w:rPr>
                <w:rFonts w:hint="eastAsia" w:ascii="Times New Roman" w:hAnsi="Times New Roman" w:eastAsia="宋体" w:cs="仿宋"/>
                <w:b/>
                <w:bCs/>
                <w:color w:val="000000" w:themeColor="text1"/>
                <w:kern w:val="2"/>
                <w:sz w:val="24"/>
                <w:szCs w:val="28"/>
                <w:lang w:val="en-US" w:eastAsia="zh-CN" w:bidi="ar-SA"/>
                <w14:textFill>
                  <w14:solidFill>
                    <w14:schemeClr w14:val="tx1"/>
                  </w14:solidFill>
                </w14:textFill>
              </w:rPr>
            </w:pPr>
            <w:r>
              <w:rPr>
                <w:rFonts w:hint="eastAsia" w:ascii="Times New Roman" w:hAnsi="Times New Roman"/>
                <w:b/>
                <w:bCs/>
                <w:sz w:val="24"/>
                <w:lang w:val="en-US" w:eastAsia="zh-CN"/>
              </w:rPr>
              <w:t>2、</w:t>
            </w:r>
            <w:r>
              <w:rPr>
                <w:rFonts w:hint="eastAsia" w:ascii="Times New Roman" w:hAnsi="Times New Roman" w:eastAsia="宋体" w:cs="仿宋"/>
                <w:b/>
                <w:bCs/>
                <w:color w:val="000000" w:themeColor="text1"/>
                <w:kern w:val="2"/>
                <w:sz w:val="24"/>
                <w:szCs w:val="28"/>
                <w:lang w:val="en-US" w:eastAsia="zh-CN" w:bidi="ar-SA"/>
                <w14:textFill>
                  <w14:solidFill>
                    <w14:schemeClr w14:val="tx1"/>
                  </w14:solidFill>
                </w14:textFill>
              </w:rPr>
              <w:t>公司在海外市场有哪些布局？目前海外市场业务开展情况怎么样？</w:t>
            </w:r>
          </w:p>
          <w:p w14:paraId="547B1200">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0" w:firstLine="482" w:firstLineChars="200"/>
              <w:jc w:val="both"/>
              <w:textAlignment w:val="auto"/>
              <w:rPr>
                <w:rFonts w:hint="default" w:ascii="Times New Roman" w:hAnsi="Times New Roman" w:eastAsia="宋体" w:cs="仿宋"/>
                <w:b w:val="0"/>
                <w:bCs/>
                <w:color w:val="000000" w:themeColor="text1"/>
                <w:kern w:val="2"/>
                <w:sz w:val="24"/>
                <w:szCs w:val="28"/>
                <w:lang w:val="en-US" w:eastAsia="zh-CN" w:bidi="ar-SA"/>
                <w14:textFill>
                  <w14:solidFill>
                    <w14:schemeClr w14:val="tx1"/>
                  </w14:solidFill>
                </w14:textFill>
              </w:rPr>
            </w:pPr>
            <w:r>
              <w:rPr>
                <w:rFonts w:hint="eastAsia" w:ascii="Times New Roman" w:hAnsi="Times New Roman"/>
                <w:b/>
                <w:bCs/>
                <w:sz w:val="24"/>
                <w:lang w:eastAsia="zh-CN"/>
              </w:rPr>
              <w:t>回复</w:t>
            </w:r>
            <w:r>
              <w:rPr>
                <w:rFonts w:hint="eastAsia" w:ascii="Times New Roman" w:hAnsi="Times New Roman"/>
                <w:sz w:val="24"/>
                <w:lang w:eastAsia="zh-CN"/>
              </w:rPr>
              <w:t>：</w:t>
            </w:r>
            <w:r>
              <w:rPr>
                <w:rFonts w:hint="eastAsia" w:ascii="Times New Roman" w:hAnsi="Times New Roman" w:eastAsia="宋体" w:cs="仿宋"/>
                <w:b w:val="0"/>
                <w:bCs/>
                <w:color w:val="000000" w:themeColor="text1"/>
                <w:kern w:val="2"/>
                <w:sz w:val="24"/>
                <w:szCs w:val="28"/>
                <w:lang w:val="en-US" w:eastAsia="zh-CN" w:bidi="ar-SA"/>
                <w14:textFill>
                  <w14:solidFill>
                    <w14:schemeClr w14:val="tx1"/>
                  </w14:solidFill>
                </w14:textFill>
              </w:rPr>
              <w:t>尊敬的投资者，您好！</w:t>
            </w:r>
            <w:r>
              <w:rPr>
                <w:rFonts w:hint="default" w:ascii="Times New Roman" w:hAnsi="Times New Roman" w:eastAsia="宋体" w:cs="仿宋"/>
                <w:b w:val="0"/>
                <w:bCs/>
                <w:color w:val="000000" w:themeColor="text1"/>
                <w:kern w:val="2"/>
                <w:sz w:val="24"/>
                <w:szCs w:val="28"/>
                <w:lang w:val="en-US" w:eastAsia="zh-CN" w:bidi="ar-SA"/>
                <w14:textFill>
                  <w14:solidFill>
                    <w14:schemeClr w14:val="tx1"/>
                  </w14:solidFill>
                </w14:textFill>
              </w:rPr>
              <w:t>公司积极响应国家</w:t>
            </w:r>
            <w:r>
              <w:rPr>
                <w:rFonts w:hint="eastAsia" w:ascii="Times New Roman" w:hAnsi="Times New Roman" w:eastAsia="宋体" w:cs="仿宋"/>
                <w:b w:val="0"/>
                <w:bCs/>
                <w:color w:val="000000" w:themeColor="text1"/>
                <w:kern w:val="2"/>
                <w:sz w:val="24"/>
                <w:szCs w:val="28"/>
                <w:lang w:val="en-US" w:eastAsia="zh-CN" w:bidi="ar-SA"/>
                <w14:textFill>
                  <w14:solidFill>
                    <w14:schemeClr w14:val="tx1"/>
                  </w14:solidFill>
                </w14:textFill>
              </w:rPr>
              <w:t>“</w:t>
            </w:r>
            <w:r>
              <w:rPr>
                <w:rFonts w:hint="default" w:ascii="Times New Roman" w:hAnsi="Times New Roman" w:eastAsia="宋体" w:cs="仿宋"/>
                <w:b w:val="0"/>
                <w:bCs/>
                <w:color w:val="000000" w:themeColor="text1"/>
                <w:kern w:val="2"/>
                <w:sz w:val="24"/>
                <w:szCs w:val="28"/>
                <w:lang w:val="en-US" w:eastAsia="zh-CN" w:bidi="ar-SA"/>
                <w14:textFill>
                  <w14:solidFill>
                    <w14:schemeClr w14:val="tx1"/>
                  </w14:solidFill>
                </w14:textFill>
              </w:rPr>
              <w:t>一带一路</w:t>
            </w:r>
            <w:r>
              <w:rPr>
                <w:rFonts w:hint="eastAsia" w:ascii="Times New Roman" w:hAnsi="Times New Roman" w:eastAsia="宋体" w:cs="仿宋"/>
                <w:b w:val="0"/>
                <w:bCs/>
                <w:color w:val="000000" w:themeColor="text1"/>
                <w:kern w:val="2"/>
                <w:sz w:val="24"/>
                <w:szCs w:val="28"/>
                <w:lang w:val="en-US" w:eastAsia="zh-CN" w:bidi="ar-SA"/>
                <w14:textFill>
                  <w14:solidFill>
                    <w14:schemeClr w14:val="tx1"/>
                  </w14:solidFill>
                </w14:textFill>
              </w:rPr>
              <w:t>”</w:t>
            </w:r>
            <w:r>
              <w:rPr>
                <w:rFonts w:hint="default" w:ascii="Times New Roman" w:hAnsi="Times New Roman" w:eastAsia="宋体" w:cs="仿宋"/>
                <w:b w:val="0"/>
                <w:bCs/>
                <w:color w:val="000000" w:themeColor="text1"/>
                <w:kern w:val="2"/>
                <w:sz w:val="24"/>
                <w:szCs w:val="28"/>
                <w:lang w:val="en-US" w:eastAsia="zh-CN" w:bidi="ar-SA"/>
                <w14:textFill>
                  <w14:solidFill>
                    <w14:schemeClr w14:val="tx1"/>
                  </w14:solidFill>
                </w14:textFill>
              </w:rPr>
              <w:t>战略方针，持续深化海外市场布局。</w:t>
            </w:r>
            <w:r>
              <w:rPr>
                <w:rFonts w:hint="eastAsia" w:ascii="Times New Roman" w:hAnsi="Times New Roman" w:eastAsia="宋体" w:cs="仿宋"/>
                <w:b w:val="0"/>
                <w:bCs/>
                <w:color w:val="000000" w:themeColor="text1"/>
                <w:kern w:val="2"/>
                <w:sz w:val="24"/>
                <w:szCs w:val="28"/>
                <w:lang w:val="en-US" w:eastAsia="zh-CN" w:bidi="ar-SA"/>
                <w14:textFill>
                  <w14:solidFill>
                    <w14:schemeClr w14:val="tx1"/>
                  </w14:solidFill>
                </w14:textFill>
              </w:rPr>
              <w:t>成立国际事业部由总经理直管。</w:t>
            </w:r>
            <w:r>
              <w:rPr>
                <w:rFonts w:hint="default" w:ascii="Times New Roman" w:hAnsi="Times New Roman" w:eastAsia="宋体" w:cs="仿宋"/>
                <w:b w:val="0"/>
                <w:bCs/>
                <w:color w:val="000000" w:themeColor="text1"/>
                <w:kern w:val="2"/>
                <w:sz w:val="24"/>
                <w:szCs w:val="28"/>
                <w:lang w:val="en-US" w:eastAsia="zh-CN" w:bidi="ar-SA"/>
                <w14:textFill>
                  <w14:solidFill>
                    <w14:schemeClr w14:val="tx1"/>
                  </w14:solidFill>
                </w14:textFill>
              </w:rPr>
              <w:t>大力发展东南亚、中东、欧洲、非洲和美洲等市场，组建一支多语种、复合型的海外业务团队，积极参加电力能源行业的国际展会，全面布局重点海外市场的渠道建设，针对当地市场特性与经销商共同制定产品和营销策略，实现海外市场新的突破。</w:t>
            </w:r>
          </w:p>
          <w:p w14:paraId="6A7ECCE3">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0" w:leftChars="0" w:firstLine="482" w:firstLineChars="200"/>
              <w:jc w:val="both"/>
              <w:textAlignment w:val="auto"/>
              <w:rPr>
                <w:rFonts w:hint="eastAsia" w:ascii="Times New Roman" w:hAnsi="Times New Roman" w:eastAsia="宋体" w:cs="Times New Roman"/>
                <w:b/>
                <w:bCs w:val="0"/>
                <w:kern w:val="2"/>
                <w:sz w:val="24"/>
                <w:szCs w:val="28"/>
                <w:lang w:val="en-US" w:eastAsia="zh-CN" w:bidi="ar-SA"/>
              </w:rPr>
            </w:pPr>
            <w:r>
              <w:rPr>
                <w:rFonts w:hint="eastAsia" w:ascii="Times New Roman" w:hAnsi="Times New Roman" w:cs="Times New Roman"/>
                <w:b/>
                <w:bCs w:val="0"/>
                <w:kern w:val="2"/>
                <w:sz w:val="24"/>
                <w:szCs w:val="28"/>
                <w:lang w:val="en-US" w:eastAsia="zh-CN" w:bidi="ar-SA"/>
              </w:rPr>
              <w:t>3</w:t>
            </w:r>
            <w:r>
              <w:rPr>
                <w:rFonts w:hint="eastAsia" w:ascii="Times New Roman" w:hAnsi="Times New Roman" w:eastAsia="宋体" w:cs="Times New Roman"/>
                <w:b/>
                <w:bCs w:val="0"/>
                <w:kern w:val="2"/>
                <w:sz w:val="24"/>
                <w:szCs w:val="28"/>
                <w:lang w:val="en-US" w:eastAsia="zh-CN" w:bidi="ar-SA"/>
              </w:rPr>
              <w:t>.公司新</w:t>
            </w:r>
            <w:r>
              <w:rPr>
                <w:rFonts w:hint="default" w:ascii="Times New Roman" w:hAnsi="Times New Roman" w:eastAsia="宋体" w:cs="Times New Roman"/>
                <w:b/>
                <w:bCs w:val="0"/>
                <w:kern w:val="2"/>
                <w:sz w:val="24"/>
                <w:szCs w:val="28"/>
                <w:lang w:val="en-US" w:eastAsia="zh-CN" w:bidi="ar-SA"/>
              </w:rPr>
              <w:t>能源电力装备智能制造产业基地建设项目</w:t>
            </w:r>
            <w:r>
              <w:rPr>
                <w:rFonts w:hint="eastAsia" w:ascii="Times New Roman" w:hAnsi="Times New Roman" w:eastAsia="宋体" w:cs="Times New Roman"/>
                <w:b/>
                <w:bCs w:val="0"/>
                <w:kern w:val="2"/>
                <w:sz w:val="24"/>
                <w:szCs w:val="28"/>
                <w:lang w:val="en-US" w:eastAsia="zh-CN" w:bidi="ar-SA"/>
              </w:rPr>
              <w:t>(</w:t>
            </w:r>
            <w:r>
              <w:rPr>
                <w:rFonts w:hint="default" w:ascii="Times New Roman" w:hAnsi="Times New Roman" w:eastAsia="宋体" w:cs="Times New Roman"/>
                <w:b/>
                <w:bCs w:val="0"/>
                <w:kern w:val="2"/>
                <w:sz w:val="24"/>
                <w:szCs w:val="28"/>
                <w:lang w:val="en-US" w:eastAsia="zh-CN" w:bidi="ar-SA"/>
              </w:rPr>
              <w:t>一期)及新能源电力装备数字化工厂建设项目</w:t>
            </w:r>
            <w:r>
              <w:rPr>
                <w:rFonts w:hint="eastAsia" w:ascii="Times New Roman" w:hAnsi="Times New Roman" w:eastAsia="宋体" w:cs="Times New Roman"/>
                <w:b/>
                <w:bCs w:val="0"/>
                <w:kern w:val="2"/>
                <w:sz w:val="24"/>
                <w:szCs w:val="28"/>
                <w:lang w:val="en-US" w:eastAsia="zh-CN" w:bidi="ar-SA"/>
              </w:rPr>
              <w:t>什么时间建设完成，产能释放多少？</w:t>
            </w:r>
          </w:p>
          <w:p w14:paraId="2ACB261C">
            <w:pPr>
              <w:pStyle w:val="32"/>
              <w:keepNext w:val="0"/>
              <w:keepLines w:val="0"/>
              <w:pageBreakBefore w:val="0"/>
              <w:kinsoku/>
              <w:wordWrap/>
              <w:overflowPunct/>
              <w:topLinePunct w:val="0"/>
              <w:autoSpaceDE/>
              <w:autoSpaceDN/>
              <w:bidi w:val="0"/>
              <w:adjustRightInd/>
              <w:snapToGrid/>
              <w:spacing w:before="157" w:beforeLines="50" w:line="360" w:lineRule="auto"/>
              <w:ind w:leftChars="0" w:firstLine="482" w:firstLineChars="200"/>
              <w:jc w:val="both"/>
              <w:textAlignment w:val="auto"/>
              <w:rPr>
                <w:rFonts w:hint="eastAsia" w:ascii="Times New Roman" w:hAnsi="Times New Roman" w:eastAsia="宋体" w:cs="sans-serif"/>
                <w:i w:val="0"/>
                <w:iCs w:val="0"/>
                <w:caps w:val="0"/>
                <w:spacing w:val="0"/>
                <w:sz w:val="24"/>
                <w:szCs w:val="20"/>
                <w:shd w:val="clear" w:fill="FFFFFF"/>
                <w:lang w:eastAsia="zh-CN"/>
              </w:rPr>
            </w:pPr>
            <w:r>
              <w:rPr>
                <w:rFonts w:hint="eastAsia" w:ascii="Times New Roman" w:hAnsi="Times New Roman"/>
                <w:b/>
                <w:bCs/>
                <w:sz w:val="24"/>
                <w:lang w:val="en-US" w:eastAsia="zh-CN"/>
              </w:rPr>
              <w:t>回复：</w:t>
            </w:r>
            <w:r>
              <w:rPr>
                <w:rFonts w:hint="eastAsia" w:ascii="Times New Roman" w:hAnsi="Times New Roman" w:eastAsia="宋体" w:cs="仿宋"/>
                <w:b w:val="0"/>
                <w:bCs/>
                <w:color w:val="000000" w:themeColor="text1"/>
                <w:kern w:val="2"/>
                <w:sz w:val="24"/>
                <w:szCs w:val="28"/>
                <w:lang w:val="en-US" w:eastAsia="zh-CN" w:bidi="ar-SA"/>
                <w14:textFill>
                  <w14:solidFill>
                    <w14:schemeClr w14:val="tx1"/>
                  </w14:solidFill>
                </w14:textFill>
              </w:rPr>
              <w:t>尊敬的投资者，您好！</w:t>
            </w:r>
            <w:r>
              <w:rPr>
                <w:rFonts w:hint="default" w:ascii="Times New Roman" w:hAnsi="Times New Roman" w:eastAsia="宋体" w:cs="sans-serif"/>
                <w:i w:val="0"/>
                <w:iCs w:val="0"/>
                <w:caps w:val="0"/>
                <w:spacing w:val="0"/>
                <w:kern w:val="2"/>
                <w:sz w:val="24"/>
                <w:szCs w:val="20"/>
                <w:shd w:val="clear" w:fill="FFFFFF"/>
                <w:lang w:val="en-US" w:eastAsia="zh-CN" w:bidi="ar-SA"/>
              </w:rPr>
              <w:t>公司积极推动项目建设，预计2025年下半年将部分投产，以满足新增订单的需求。项目建成后，公司将新增新能源干式变压器产能1,056 万kVA/年（含自用部分）、新能源油浸式变压器产能1,584 万kVA/年（含自用部分）、新能源箱式变电站产能3,360 台/年、新能源油浸式变压器油箱产能9,000 台/年。</w:t>
            </w:r>
            <w:r>
              <w:rPr>
                <w:rFonts w:hint="eastAsia" w:ascii="Times New Roman" w:hAnsi="Times New Roman" w:eastAsia="宋体" w:cs="sans-serif"/>
                <w:i w:val="0"/>
                <w:iCs w:val="0"/>
                <w:caps w:val="0"/>
                <w:spacing w:val="0"/>
                <w:sz w:val="24"/>
                <w:szCs w:val="20"/>
                <w:shd w:val="clear" w:fill="FFFFFF"/>
              </w:rPr>
              <w:t>敬请您关注公司后续披露的相关公告</w:t>
            </w:r>
            <w:r>
              <w:rPr>
                <w:rFonts w:hint="eastAsia" w:ascii="Times New Roman" w:hAnsi="Times New Roman" w:eastAsia="宋体" w:cs="sans-serif"/>
                <w:i w:val="0"/>
                <w:iCs w:val="0"/>
                <w:caps w:val="0"/>
                <w:spacing w:val="0"/>
                <w:sz w:val="24"/>
                <w:szCs w:val="20"/>
                <w:shd w:val="clear" w:fill="FFFFFF"/>
                <w:lang w:eastAsia="zh-CN"/>
              </w:rPr>
              <w:t>。</w:t>
            </w:r>
          </w:p>
          <w:p w14:paraId="35A8F296">
            <w:pPr>
              <w:pStyle w:val="32"/>
              <w:keepNext w:val="0"/>
              <w:keepLines w:val="0"/>
              <w:pageBreakBefore w:val="0"/>
              <w:numPr>
                <w:ilvl w:val="0"/>
                <w:numId w:val="0"/>
              </w:numPr>
              <w:kinsoku/>
              <w:wordWrap/>
              <w:overflowPunct/>
              <w:topLinePunct w:val="0"/>
              <w:autoSpaceDE/>
              <w:autoSpaceDN/>
              <w:bidi w:val="0"/>
              <w:adjustRightInd/>
              <w:snapToGrid/>
              <w:spacing w:before="157" w:beforeLines="50" w:line="360" w:lineRule="auto"/>
              <w:ind w:leftChars="200"/>
              <w:jc w:val="both"/>
              <w:textAlignment w:val="auto"/>
              <w:rPr>
                <w:rFonts w:hint="eastAsia" w:ascii="Times New Roman" w:hAnsi="Times New Roman" w:eastAsia="宋体" w:cs="Times New Roman"/>
                <w:b/>
                <w:bCs/>
                <w:kern w:val="2"/>
                <w:sz w:val="24"/>
                <w:szCs w:val="24"/>
                <w:lang w:val="en-US" w:eastAsia="zh-CN" w:bidi="ar-SA"/>
              </w:rPr>
            </w:pPr>
            <w:r>
              <w:rPr>
                <w:rFonts w:hint="eastAsia" w:cs="Times New Roman"/>
                <w:b/>
                <w:bCs/>
                <w:kern w:val="2"/>
                <w:sz w:val="24"/>
                <w:szCs w:val="24"/>
                <w:lang w:val="en-US" w:eastAsia="zh-CN" w:bidi="ar-SA"/>
              </w:rPr>
              <w:t>4、</w:t>
            </w:r>
            <w:r>
              <w:rPr>
                <w:rFonts w:hint="eastAsia" w:ascii="Times New Roman" w:hAnsi="Times New Roman" w:eastAsia="宋体" w:cs="Times New Roman"/>
                <w:b/>
                <w:bCs/>
                <w:kern w:val="2"/>
                <w:sz w:val="24"/>
                <w:szCs w:val="24"/>
                <w:lang w:val="en-US" w:eastAsia="zh-CN" w:bidi="ar-SA"/>
              </w:rPr>
              <w:t>公司</w:t>
            </w:r>
            <w:r>
              <w:rPr>
                <w:rFonts w:hint="eastAsia" w:cs="Times New Roman"/>
                <w:b/>
                <w:bCs/>
                <w:kern w:val="2"/>
                <w:sz w:val="24"/>
                <w:szCs w:val="24"/>
                <w:lang w:val="en-US" w:eastAsia="zh-CN" w:bidi="ar-SA"/>
              </w:rPr>
              <w:t>总</w:t>
            </w:r>
            <w:r>
              <w:rPr>
                <w:rFonts w:hint="eastAsia" w:ascii="Times New Roman" w:hAnsi="Times New Roman" w:eastAsia="宋体" w:cs="Times New Roman"/>
                <w:b/>
                <w:bCs/>
                <w:kern w:val="2"/>
                <w:sz w:val="24"/>
                <w:szCs w:val="24"/>
                <w:lang w:val="en-US" w:eastAsia="zh-CN" w:bidi="ar-SA"/>
              </w:rPr>
              <w:t>产能能达到多少？</w:t>
            </w:r>
          </w:p>
          <w:p w14:paraId="4440C4AF">
            <w:pPr>
              <w:pStyle w:val="32"/>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0" w:firstLine="480" w:firstLineChars="200"/>
              <w:jc w:val="both"/>
              <w:textAlignment w:val="auto"/>
              <w:rPr>
                <w:rFonts w:hint="eastAsia" w:ascii="Times New Roman" w:hAnsi="Times New Roman" w:eastAsia="宋体" w:cs="仿宋"/>
                <w:b w:val="0"/>
                <w:bCs/>
                <w:color w:val="000000" w:themeColor="text1"/>
                <w:kern w:val="2"/>
                <w:sz w:val="24"/>
                <w:szCs w:val="28"/>
                <w:lang w:val="en-US" w:eastAsia="zh-CN" w:bidi="ar-SA"/>
                <w14:textFill>
                  <w14:solidFill>
                    <w14:schemeClr w14:val="tx1"/>
                  </w14:solidFill>
                </w14:textFill>
              </w:rPr>
            </w:pPr>
            <w:r>
              <w:rPr>
                <w:rFonts w:hint="eastAsia" w:ascii="Times New Roman" w:hAnsi="Times New Roman" w:eastAsia="宋体" w:cs="仿宋"/>
                <w:b w:val="0"/>
                <w:bCs/>
                <w:color w:val="000000" w:themeColor="text1"/>
                <w:kern w:val="2"/>
                <w:sz w:val="24"/>
                <w:szCs w:val="28"/>
                <w:lang w:val="en-US" w:eastAsia="zh-CN" w:bidi="ar-SA"/>
                <w14:textFill>
                  <w14:solidFill>
                    <w14:schemeClr w14:val="tx1"/>
                  </w14:solidFill>
                </w14:textFill>
              </w:rPr>
              <w:t>回复：尊敬的投资者，您好！截至</w:t>
            </w:r>
            <w:r>
              <w:rPr>
                <w:rFonts w:hint="eastAsia" w:cs="仿宋"/>
                <w:b w:val="0"/>
                <w:bCs/>
                <w:color w:val="000000" w:themeColor="text1"/>
                <w:kern w:val="2"/>
                <w:sz w:val="24"/>
                <w:szCs w:val="28"/>
                <w:lang w:val="en-US" w:eastAsia="zh-CN" w:bidi="ar-SA"/>
                <w14:textFill>
                  <w14:solidFill>
                    <w14:schemeClr w14:val="tx1"/>
                  </w14:solidFill>
                </w14:textFill>
              </w:rPr>
              <w:t>目前</w:t>
            </w:r>
            <w:r>
              <w:rPr>
                <w:rFonts w:hint="eastAsia" w:ascii="Times New Roman" w:hAnsi="Times New Roman" w:eastAsia="宋体" w:cs="仿宋"/>
                <w:b w:val="0"/>
                <w:bCs/>
                <w:color w:val="000000" w:themeColor="text1"/>
                <w:kern w:val="2"/>
                <w:sz w:val="24"/>
                <w:szCs w:val="28"/>
                <w:lang w:val="en-US" w:eastAsia="zh-CN" w:bidi="ar-SA"/>
                <w14:textFill>
                  <w14:solidFill>
                    <w14:schemeClr w14:val="tx1"/>
                  </w14:solidFill>
                </w14:textFill>
              </w:rPr>
              <w:t>，公司各产品达产产能预计如下：干式变压器产能1,224万kVA，油浸式变压器产能1,285.20万kVA，箱式变电站产能2,411台，电气成套设备4,512台</w:t>
            </w:r>
            <w:r>
              <w:rPr>
                <w:rFonts w:hint="eastAsia" w:cs="仿宋"/>
                <w:b w:val="0"/>
                <w:bCs/>
                <w:color w:val="000000" w:themeColor="text1"/>
                <w:kern w:val="2"/>
                <w:sz w:val="24"/>
                <w:szCs w:val="28"/>
                <w:lang w:val="en-US" w:eastAsia="zh-CN" w:bidi="ar-SA"/>
                <w14:textFill>
                  <w14:solidFill>
                    <w14:schemeClr w14:val="tx1"/>
                  </w14:solidFill>
                </w14:textFill>
              </w:rPr>
              <w:t>。</w:t>
            </w:r>
          </w:p>
          <w:p w14:paraId="59862A85">
            <w:pPr>
              <w:pStyle w:val="24"/>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0" w:firstLine="480" w:firstLineChars="200"/>
              <w:jc w:val="both"/>
              <w:textAlignment w:val="auto"/>
              <w:rPr>
                <w:rFonts w:hint="eastAsia" w:ascii="Times New Roman" w:hAnsi="Times New Roman" w:eastAsia="宋体" w:cs="微软雅黑"/>
                <w:sz w:val="24"/>
                <w:lang w:eastAsia="zh-CN"/>
              </w:rPr>
            </w:pPr>
            <w:r>
              <w:rPr>
                <w:rFonts w:hint="eastAsia" w:ascii="Times New Roman" w:hAnsi="Times New Roman" w:eastAsia="宋体" w:cs="仿宋"/>
                <w:b w:val="0"/>
                <w:bCs/>
                <w:color w:val="000000" w:themeColor="text1"/>
                <w:kern w:val="2"/>
                <w:sz w:val="24"/>
                <w:szCs w:val="28"/>
                <w:lang w:val="en-US" w:eastAsia="zh-CN" w:bidi="ar-SA"/>
                <w14:textFill>
                  <w14:solidFill>
                    <w14:schemeClr w14:val="tx1"/>
                  </w14:solidFill>
                </w14:textFill>
              </w:rPr>
              <w:t>公司本次募投项目“新能源电力装备智能制造产业基地建设项目(一期)”和“新能源电力装备数字化工厂建设项目”建成后，将分别新增新能源干式变压器、新能源油浸式变压器、新能源箱式变电站和新能源油浸式变压器油箱的产能分别为 1,056 万 kVA/年(含自用)、1,584万 kVA/年(含自用)、3</w:t>
            </w:r>
            <w:r>
              <w:rPr>
                <w:rFonts w:hint="eastAsia" w:ascii="Times New Roman" w:hAnsi="Times New Roman" w:cs="仿宋"/>
                <w:b w:val="0"/>
                <w:bCs/>
                <w:color w:val="000000" w:themeColor="text1"/>
                <w:kern w:val="2"/>
                <w:sz w:val="24"/>
                <w:szCs w:val="28"/>
                <w:lang w:val="en-US" w:eastAsia="zh-CN" w:bidi="ar-SA"/>
                <w14:textFill>
                  <w14:solidFill>
                    <w14:schemeClr w14:val="tx1"/>
                  </w14:solidFill>
                </w14:textFill>
              </w:rPr>
              <w:t>,</w:t>
            </w:r>
            <w:r>
              <w:rPr>
                <w:rFonts w:hint="eastAsia" w:ascii="Times New Roman" w:hAnsi="Times New Roman" w:eastAsia="宋体" w:cs="微软雅黑"/>
                <w:sz w:val="24"/>
                <w:lang w:eastAsia="zh-CN"/>
              </w:rPr>
              <w:t>360 台/年和 9</w:t>
            </w:r>
            <w:r>
              <w:rPr>
                <w:rFonts w:hint="eastAsia" w:ascii="Times New Roman" w:hAnsi="Times New Roman" w:cs="微软雅黑"/>
                <w:sz w:val="24"/>
                <w:lang w:val="en-US" w:eastAsia="zh-CN"/>
              </w:rPr>
              <w:t>,</w:t>
            </w:r>
            <w:r>
              <w:rPr>
                <w:rFonts w:hint="eastAsia" w:ascii="Times New Roman" w:hAnsi="Times New Roman" w:eastAsia="宋体" w:cs="微软雅黑"/>
                <w:sz w:val="24"/>
                <w:lang w:eastAsia="zh-CN"/>
              </w:rPr>
              <w:t>000台/年。</w:t>
            </w:r>
          </w:p>
          <w:p w14:paraId="2E1AF51D">
            <w:pPr>
              <w:pStyle w:val="24"/>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200"/>
              <w:jc w:val="both"/>
              <w:textAlignment w:val="auto"/>
              <w:rPr>
                <w:rFonts w:hint="eastAsia" w:ascii="Times New Roman" w:hAnsi="Times New Roman"/>
                <w:b/>
                <w:bCs/>
                <w:sz w:val="24"/>
                <w:lang w:val="en-US" w:eastAsia="zh-CN"/>
              </w:rPr>
            </w:pPr>
            <w:r>
              <w:rPr>
                <w:rFonts w:hint="eastAsia" w:ascii="Times New Roman" w:hAnsi="Times New Roman"/>
                <w:b/>
                <w:bCs/>
                <w:sz w:val="24"/>
                <w:lang w:val="en-US" w:eastAsia="zh-CN"/>
              </w:rPr>
              <w:t>5、公司现在的在手订单情况？</w:t>
            </w:r>
          </w:p>
          <w:p w14:paraId="71835708">
            <w:pPr>
              <w:pStyle w:val="24"/>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0" w:firstLine="482" w:firstLineChars="200"/>
              <w:jc w:val="both"/>
              <w:textAlignment w:val="auto"/>
              <w:rPr>
                <w:rFonts w:hint="default" w:ascii="Times New Roman" w:hAnsi="Times New Roman" w:eastAsia="宋体" w:cs="sans-serif"/>
                <w:i w:val="0"/>
                <w:iCs w:val="0"/>
                <w:caps w:val="0"/>
                <w:spacing w:val="0"/>
                <w:sz w:val="24"/>
                <w:szCs w:val="20"/>
                <w:shd w:val="clear" w:fill="FFFFFF"/>
                <w:lang w:val="en-US" w:eastAsia="zh-CN"/>
              </w:rPr>
            </w:pPr>
            <w:r>
              <w:rPr>
                <w:rFonts w:hint="eastAsia" w:ascii="Times New Roman" w:hAnsi="Times New Roman"/>
                <w:b/>
                <w:bCs/>
                <w:sz w:val="24"/>
                <w:lang w:val="en-US" w:eastAsia="zh-CN"/>
              </w:rPr>
              <w:t>回复：</w:t>
            </w:r>
            <w:r>
              <w:rPr>
                <w:rFonts w:hint="eastAsia" w:ascii="Times New Roman" w:hAnsi="Times New Roman" w:eastAsia="宋体" w:cs="仿宋"/>
                <w:b w:val="0"/>
                <w:bCs/>
                <w:color w:val="000000" w:themeColor="text1"/>
                <w:kern w:val="2"/>
                <w:sz w:val="24"/>
                <w:szCs w:val="28"/>
                <w:lang w:val="en-US" w:eastAsia="zh-CN" w:bidi="ar-SA"/>
                <w14:textFill>
                  <w14:solidFill>
                    <w14:schemeClr w14:val="tx1"/>
                  </w14:solidFill>
                </w14:textFill>
              </w:rPr>
              <w:t>尊敬的投资者，您好！截至2025年</w:t>
            </w:r>
            <w:r>
              <w:rPr>
                <w:rFonts w:hint="eastAsia" w:ascii="Times New Roman" w:hAnsi="Times New Roman" w:cs="仿宋"/>
                <w:b w:val="0"/>
                <w:bCs/>
                <w:color w:val="000000" w:themeColor="text1"/>
                <w:kern w:val="2"/>
                <w:sz w:val="24"/>
                <w:szCs w:val="28"/>
                <w:lang w:val="en-US" w:eastAsia="zh-CN" w:bidi="ar-SA"/>
                <w14:textFill>
                  <w14:solidFill>
                    <w14:schemeClr w14:val="tx1"/>
                  </w14:solidFill>
                </w14:textFill>
              </w:rPr>
              <w:t>6</w:t>
            </w:r>
            <w:r>
              <w:rPr>
                <w:rFonts w:hint="eastAsia" w:ascii="Times New Roman" w:hAnsi="Times New Roman" w:eastAsia="宋体" w:cs="仿宋"/>
                <w:b w:val="0"/>
                <w:bCs/>
                <w:color w:val="000000" w:themeColor="text1"/>
                <w:kern w:val="2"/>
                <w:sz w:val="24"/>
                <w:szCs w:val="28"/>
                <w:lang w:val="en-US" w:eastAsia="zh-CN" w:bidi="ar-SA"/>
                <w14:textFill>
                  <w14:solidFill>
                    <w14:schemeClr w14:val="tx1"/>
                  </w14:solidFill>
                </w14:textFill>
              </w:rPr>
              <w:t>月30日，公司在手订单约</w:t>
            </w:r>
            <w:r>
              <w:rPr>
                <w:rFonts w:hint="eastAsia" w:ascii="Times New Roman" w:hAnsi="Times New Roman" w:cs="仿宋"/>
                <w:b w:val="0"/>
                <w:bCs/>
                <w:color w:val="000000" w:themeColor="text1"/>
                <w:kern w:val="2"/>
                <w:sz w:val="24"/>
                <w:szCs w:val="28"/>
                <w:lang w:val="en-US" w:eastAsia="zh-CN" w:bidi="ar-SA"/>
                <w14:textFill>
                  <w14:solidFill>
                    <w14:schemeClr w14:val="tx1"/>
                  </w14:solidFill>
                </w14:textFill>
              </w:rPr>
              <w:t>15</w:t>
            </w:r>
            <w:r>
              <w:rPr>
                <w:rFonts w:hint="eastAsia" w:ascii="Times New Roman" w:hAnsi="Times New Roman" w:eastAsia="宋体" w:cs="仿宋"/>
                <w:b w:val="0"/>
                <w:bCs/>
                <w:color w:val="000000" w:themeColor="text1"/>
                <w:kern w:val="2"/>
                <w:sz w:val="24"/>
                <w:szCs w:val="28"/>
                <w:lang w:val="en-US" w:eastAsia="zh-CN" w:bidi="ar-SA"/>
                <w14:textFill>
                  <w14:solidFill>
                    <w14:schemeClr w14:val="tx1"/>
                  </w14:solidFill>
                </w14:textFill>
              </w:rPr>
              <w:t>亿元，公司在手订单充足，为公司2025年业绩奠定良好基础。有关公司在手订单的具体情况，请以公司披露的定期报告等公告为准。</w:t>
            </w:r>
          </w:p>
          <w:p w14:paraId="7173E42B">
            <w:pPr>
              <w:pStyle w:val="24"/>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200"/>
              <w:jc w:val="both"/>
              <w:textAlignment w:val="auto"/>
              <w:rPr>
                <w:rFonts w:hint="eastAsia" w:ascii="Times New Roman" w:hAnsi="Times New Roman"/>
                <w:b/>
                <w:bCs/>
                <w:sz w:val="24"/>
                <w:lang w:val="en-US" w:eastAsia="zh-CN"/>
              </w:rPr>
            </w:pPr>
            <w:r>
              <w:rPr>
                <w:rFonts w:hint="eastAsia" w:ascii="Times New Roman" w:hAnsi="Times New Roman"/>
                <w:b/>
                <w:bCs/>
                <w:sz w:val="24"/>
                <w:lang w:val="en-US" w:eastAsia="zh-CN"/>
              </w:rPr>
              <w:t>6、定价标准？交付周期多久？</w:t>
            </w:r>
            <w:bookmarkStart w:id="2" w:name="_GoBack"/>
            <w:bookmarkEnd w:id="2"/>
          </w:p>
          <w:p w14:paraId="3F0041EA">
            <w:pPr>
              <w:pStyle w:val="24"/>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0" w:firstLine="482"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b/>
                <w:bCs/>
                <w:sz w:val="24"/>
                <w:lang w:val="en-US" w:eastAsia="zh-CN"/>
              </w:rPr>
              <w:t>回复</w:t>
            </w:r>
            <w:r>
              <w:rPr>
                <w:rFonts w:hint="eastAsia" w:ascii="Times New Roman" w:hAnsi="Times New Roman" w:eastAsia="宋体"/>
                <w:sz w:val="24"/>
                <w:lang w:val="en-US" w:eastAsia="zh-CN"/>
              </w:rPr>
              <w:t>：</w:t>
            </w:r>
            <w:r>
              <w:rPr>
                <w:rFonts w:hint="eastAsia" w:ascii="Times New Roman" w:hAnsi="Times New Roman" w:eastAsia="宋体" w:cs="仿宋"/>
                <w:b w:val="0"/>
                <w:bCs/>
                <w:color w:val="000000" w:themeColor="text1"/>
                <w:kern w:val="2"/>
                <w:sz w:val="24"/>
                <w:szCs w:val="28"/>
                <w:lang w:val="en-US" w:eastAsia="zh-CN" w:bidi="ar-SA"/>
                <w14:textFill>
                  <w14:solidFill>
                    <w14:schemeClr w14:val="tx1"/>
                  </w14:solidFill>
                </w14:textFill>
              </w:rPr>
              <w:t>尊敬的投资者，您</w:t>
            </w:r>
            <w:r>
              <w:rPr>
                <w:rFonts w:hint="eastAsia" w:ascii="Times New Roman" w:hAnsi="Times New Roman" w:eastAsia="宋体"/>
                <w:sz w:val="24"/>
                <w:lang w:val="en-US" w:eastAsia="zh-CN"/>
              </w:rPr>
              <w:t>好！</w:t>
            </w:r>
            <w:r>
              <w:rPr>
                <w:rFonts w:hint="eastAsia" w:ascii="Times New Roman" w:hAnsi="Times New Roman"/>
                <w:sz w:val="24"/>
                <w:lang w:val="en-US" w:eastAsia="zh-CN"/>
              </w:rPr>
              <w:t>公司</w:t>
            </w:r>
            <w:r>
              <w:rPr>
                <w:rFonts w:hint="eastAsia" w:ascii="Times New Roman" w:hAnsi="Times New Roman" w:eastAsia="宋体"/>
                <w:sz w:val="24"/>
                <w:lang w:val="en-US" w:eastAsia="zh-CN"/>
              </w:rPr>
              <w:t>产品定价标准是根据客户需求、产品性质、市场供给、竞品竞争、业绩需要等多方面因素进行综合考虑后确定</w:t>
            </w:r>
            <w:r>
              <w:rPr>
                <w:rFonts w:hint="eastAsia" w:ascii="Times New Roman" w:hAnsi="Times New Roman"/>
                <w:sz w:val="24"/>
                <w:lang w:val="en-US" w:eastAsia="zh-CN"/>
              </w:rPr>
              <w:t>；</w:t>
            </w:r>
            <w:bookmarkStart w:id="1" w:name="_Toc200724471"/>
            <w:r>
              <w:rPr>
                <w:rFonts w:hint="eastAsia" w:ascii="Times New Roman" w:hAnsi="Times New Roman" w:eastAsia="宋体"/>
                <w:sz w:val="24"/>
                <w:lang w:val="en-US" w:eastAsia="zh-CN"/>
              </w:rPr>
              <w:t>公司的交货周期将依据客户所需产品的具体类型和数量，同时考虑到公司的生产能力和现有订单状况，以此确定最终的交货时间。</w:t>
            </w:r>
          </w:p>
          <w:p w14:paraId="24276825">
            <w:pPr>
              <w:pStyle w:val="24"/>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200"/>
              <w:jc w:val="both"/>
              <w:textAlignment w:val="auto"/>
              <w:rPr>
                <w:rFonts w:hint="eastAsia" w:ascii="Times New Roman" w:hAnsi="Times New Roman"/>
                <w:b/>
                <w:bCs/>
                <w:sz w:val="24"/>
                <w:lang w:val="en-US" w:eastAsia="zh-CN"/>
              </w:rPr>
            </w:pPr>
            <w:r>
              <w:rPr>
                <w:rFonts w:hint="eastAsia" w:ascii="Times New Roman" w:hAnsi="Times New Roman"/>
                <w:b/>
                <w:bCs/>
                <w:sz w:val="24"/>
                <w:lang w:val="en-US" w:eastAsia="zh-CN"/>
              </w:rPr>
              <w:t>7、请介绍一下公司业务发展整体目标。</w:t>
            </w:r>
            <w:bookmarkEnd w:id="1"/>
          </w:p>
          <w:p w14:paraId="245A0BDD">
            <w:pPr>
              <w:pStyle w:val="32"/>
              <w:spacing w:before="156"/>
              <w:ind w:firstLine="480"/>
              <w:rPr>
                <w:rFonts w:hint="default" w:ascii="Times New Roman" w:hAnsi="Times New Roman" w:eastAsia="宋体" w:cs="仿宋"/>
                <w:b w:val="0"/>
                <w:bCs/>
                <w:color w:val="000000" w:themeColor="text1"/>
                <w:sz w:val="24"/>
                <w:szCs w:val="28"/>
                <w:lang w:val="en-US" w:eastAsia="zh-CN"/>
                <w14:textFill>
                  <w14:solidFill>
                    <w14:schemeClr w14:val="tx1"/>
                  </w14:solidFill>
                </w14:textFill>
              </w:rPr>
            </w:pPr>
            <w:r>
              <w:rPr>
                <w:rFonts w:hint="eastAsia"/>
                <w:b/>
                <w:bCs/>
                <w:szCs w:val="24"/>
                <w:shd w:val="clear" w:color="auto" w:fill="FFFFFF"/>
                <w:lang w:val="en-US" w:eastAsia="zh-CN"/>
              </w:rPr>
              <w:t>回复：</w:t>
            </w:r>
            <w:r>
              <w:rPr>
                <w:rFonts w:hint="eastAsia"/>
                <w:szCs w:val="24"/>
                <w:shd w:val="clear" w:color="auto" w:fill="FFFFFF"/>
              </w:rPr>
              <w:t>尊敬的投资者！您好，公司秉承“为用户提供安全可靠、节能智能的电力装备，为中国高端电力装备产业发展而奋斗”的企业使命，贯彻“信誉来源于品质、品质来源于素质”的发展理念，在深耕输配电设备及控制领域的同时，逐步拓展清洁能源协同发展的产品群，通过加强科技研发和科技创新，不断提高公司智能化、自动化和数字化制造水平，为我国新型电力系统建设和新时代新能源高质量发展实施提供高质量的电力装备产品，并积极开拓海外市场，提升品牌国际知名度和全球市场占有率，致力于将公司打造成为行业一流、国际领先的电力装备制造企业。</w:t>
            </w:r>
          </w:p>
        </w:tc>
      </w:tr>
      <w:tr w14:paraId="7963D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90" w:type="dxa"/>
            <w:tcBorders>
              <w:top w:val="single" w:color="auto" w:sz="4" w:space="0"/>
              <w:left w:val="single" w:color="auto" w:sz="12" w:space="0"/>
              <w:bottom w:val="single" w:color="auto" w:sz="4" w:space="0"/>
              <w:right w:val="single" w:color="auto" w:sz="4" w:space="0"/>
            </w:tcBorders>
            <w:vAlign w:val="center"/>
          </w:tcPr>
          <w:p w14:paraId="5A42B7C7">
            <w:pPr>
              <w:jc w:val="center"/>
              <w:rPr>
                <w:rFonts w:ascii="Times New Roman" w:hAnsi="Times New Roman" w:eastAsia="宋体" w:cs="宋体"/>
                <w:color w:val="auto"/>
                <w:sz w:val="24"/>
              </w:rPr>
            </w:pPr>
            <w:r>
              <w:rPr>
                <w:rFonts w:hint="eastAsia" w:ascii="Times New Roman" w:hAnsi="Times New Roman" w:eastAsia="宋体" w:cs="宋体"/>
                <w:color w:val="auto"/>
                <w:sz w:val="24"/>
              </w:rPr>
              <w:t>附件清单（如有）</w:t>
            </w:r>
          </w:p>
        </w:tc>
        <w:tc>
          <w:tcPr>
            <w:tcW w:w="7825" w:type="dxa"/>
            <w:tcBorders>
              <w:top w:val="single" w:color="auto" w:sz="4" w:space="0"/>
              <w:left w:val="single" w:color="auto" w:sz="4" w:space="0"/>
              <w:bottom w:val="single" w:color="auto" w:sz="4" w:space="0"/>
              <w:right w:val="single" w:color="auto" w:sz="12" w:space="0"/>
            </w:tcBorders>
            <w:vAlign w:val="center"/>
          </w:tcPr>
          <w:p w14:paraId="48D8624C">
            <w:pPr>
              <w:rPr>
                <w:rFonts w:ascii="Times New Roman" w:hAnsi="Times New Roman" w:eastAsia="宋体" w:cs="宋体"/>
                <w:color w:val="auto"/>
                <w:sz w:val="24"/>
              </w:rPr>
            </w:pPr>
            <w:r>
              <w:rPr>
                <w:rFonts w:hint="eastAsia" w:ascii="Times New Roman" w:hAnsi="Times New Roman" w:eastAsia="宋体" w:cs="宋体"/>
                <w:color w:val="auto"/>
                <w:sz w:val="24"/>
              </w:rPr>
              <w:t>无</w:t>
            </w:r>
          </w:p>
        </w:tc>
      </w:tr>
      <w:tr w14:paraId="23D16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90" w:type="dxa"/>
            <w:tcBorders>
              <w:top w:val="single" w:color="auto" w:sz="4" w:space="0"/>
              <w:left w:val="single" w:color="auto" w:sz="12" w:space="0"/>
              <w:bottom w:val="single" w:color="auto" w:sz="12" w:space="0"/>
              <w:right w:val="single" w:color="auto" w:sz="4" w:space="0"/>
            </w:tcBorders>
            <w:vAlign w:val="center"/>
          </w:tcPr>
          <w:p w14:paraId="3121BF53">
            <w:pPr>
              <w:jc w:val="center"/>
              <w:rPr>
                <w:rFonts w:ascii="Times New Roman" w:hAnsi="Times New Roman" w:eastAsia="宋体" w:cs="宋体"/>
                <w:color w:val="auto"/>
                <w:sz w:val="24"/>
              </w:rPr>
            </w:pPr>
            <w:r>
              <w:rPr>
                <w:rFonts w:hint="eastAsia" w:ascii="Times New Roman" w:hAnsi="Times New Roman" w:eastAsia="宋体" w:cs="宋体"/>
                <w:color w:val="auto"/>
                <w:sz w:val="24"/>
              </w:rPr>
              <w:t>日期</w:t>
            </w:r>
          </w:p>
        </w:tc>
        <w:tc>
          <w:tcPr>
            <w:tcW w:w="7825" w:type="dxa"/>
            <w:tcBorders>
              <w:top w:val="single" w:color="auto" w:sz="4" w:space="0"/>
              <w:left w:val="single" w:color="auto" w:sz="4" w:space="0"/>
              <w:bottom w:val="single" w:color="auto" w:sz="12" w:space="0"/>
              <w:right w:val="single" w:color="auto" w:sz="12" w:space="0"/>
            </w:tcBorders>
            <w:vAlign w:val="center"/>
          </w:tcPr>
          <w:p w14:paraId="67EB38EC">
            <w:pPr>
              <w:rPr>
                <w:rFonts w:ascii="Times New Roman" w:hAnsi="Times New Roman" w:eastAsia="宋体" w:cs="宋体"/>
                <w:color w:val="auto"/>
                <w:sz w:val="24"/>
              </w:rPr>
            </w:pPr>
            <w:r>
              <w:rPr>
                <w:rFonts w:hint="eastAsia" w:ascii="Times New Roman" w:hAnsi="Times New Roman" w:eastAsia="宋体" w:cs="宋体"/>
                <w:color w:val="auto"/>
                <w:sz w:val="24"/>
              </w:rPr>
              <w:t>202</w:t>
            </w:r>
            <w:r>
              <w:rPr>
                <w:rFonts w:hint="eastAsia" w:ascii="Times New Roman" w:hAnsi="Times New Roman" w:cs="宋体"/>
                <w:color w:val="auto"/>
                <w:sz w:val="24"/>
                <w:lang w:val="en-US" w:eastAsia="zh-CN"/>
              </w:rPr>
              <w:t>5</w:t>
            </w:r>
            <w:r>
              <w:rPr>
                <w:rFonts w:ascii="Times New Roman" w:hAnsi="Times New Roman" w:eastAsia="宋体" w:cs="宋体"/>
                <w:color w:val="auto"/>
                <w:sz w:val="24"/>
              </w:rPr>
              <w:t>年</w:t>
            </w:r>
            <w:r>
              <w:rPr>
                <w:rFonts w:hint="eastAsia" w:ascii="Times New Roman" w:hAnsi="Times New Roman" w:cs="宋体"/>
                <w:color w:val="auto"/>
                <w:sz w:val="24"/>
                <w:lang w:val="en-US" w:eastAsia="zh-CN"/>
              </w:rPr>
              <w:t>7</w:t>
            </w:r>
            <w:r>
              <w:rPr>
                <w:rFonts w:ascii="Times New Roman" w:hAnsi="Times New Roman" w:eastAsia="宋体" w:cs="宋体"/>
                <w:color w:val="auto"/>
                <w:sz w:val="24"/>
              </w:rPr>
              <w:t>月</w:t>
            </w:r>
          </w:p>
        </w:tc>
      </w:tr>
    </w:tbl>
    <w:p w14:paraId="16D47441">
      <w:pPr>
        <w:widowControl/>
        <w:jc w:val="left"/>
        <w:rPr>
          <w:rFonts w:ascii="Times New Roman" w:hAnsi="Times New Roman" w:eastAsia="宋体" w:cs="宋体"/>
          <w:b/>
          <w:bCs/>
          <w:color w:val="auto"/>
          <w:kern w:val="0"/>
          <w:sz w:val="24"/>
          <w:lang w:bidi="ar"/>
        </w:rPr>
      </w:pPr>
    </w:p>
    <w:p w14:paraId="76560086">
      <w:pPr>
        <w:widowControl/>
        <w:spacing w:line="360" w:lineRule="auto"/>
        <w:jc w:val="left"/>
        <w:rPr>
          <w:rFonts w:ascii="Times New Roman" w:hAnsi="Times New Roman"/>
        </w:rPr>
      </w:pPr>
      <w:r>
        <w:rPr>
          <w:rFonts w:hint="eastAsia" w:ascii="Times New Roman" w:hAnsi="Times New Roman" w:eastAsia="宋体" w:cs="宋体"/>
          <w:b/>
          <w:bCs/>
          <w:color w:val="auto"/>
          <w:kern w:val="0"/>
          <w:sz w:val="24"/>
          <w:lang w:bidi="ar"/>
        </w:rPr>
        <w:t>风险提示：</w:t>
      </w:r>
      <w:r>
        <w:rPr>
          <w:rFonts w:hint="eastAsia" w:ascii="Times New Roman" w:hAnsi="Times New Roman" w:eastAsia="宋体" w:cs="宋体"/>
          <w:color w:val="auto"/>
          <w:kern w:val="0"/>
          <w:sz w:val="24"/>
          <w:lang w:bidi="ar"/>
        </w:rPr>
        <w:t>以上如涉及对行业的预测、公司发展战略规划等相关内容，不能视作公司或公司管理层对行业、公司发展的承诺和保证，敬请广大投资者注意投资风险。</w:t>
      </w:r>
    </w:p>
    <w:sectPr>
      <w:headerReference r:id="rId3" w:type="default"/>
      <w:footerReference r:id="rId4" w:type="default"/>
      <w:pgSz w:w="12240" w:h="15840"/>
      <w:pgMar w:top="1440" w:right="1417" w:bottom="1440" w:left="141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481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2D4F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8A2D4F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E9231">
    <w:pPr>
      <w:pStyle w:val="8"/>
      <w:jc w:val="both"/>
      <w:rPr>
        <w:rFonts w:ascii="宋体" w:hAnsi="宋体" w:cs="宋体"/>
      </w:rPr>
    </w:pPr>
    <w:r>
      <w:rPr>
        <w:rFonts w:hint="eastAsia" w:ascii="宋体" w:hAnsi="宋体" w:cs="宋体"/>
      </w:rPr>
      <w:t>江苏华辰变压器股份有限公司                                                         投资者关系活动记录表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9F35F"/>
    <w:multiLevelType w:val="singleLevel"/>
    <w:tmpl w:val="E4F9F35F"/>
    <w:lvl w:ilvl="0" w:tentative="0">
      <w:start w:val="1"/>
      <w:numFmt w:val="chineseCounting"/>
      <w:suff w:val="nothing"/>
      <w:lvlText w:val="%1、"/>
      <w:lvlJc w:val="left"/>
      <w:rPr>
        <w:rFonts w:hint="eastAsia"/>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0YjZiMWFmMWQ1YWUwZTdhOGQ3MzI4NDgzYjNhYjQifQ=="/>
  </w:docVars>
  <w:rsids>
    <w:rsidRoot w:val="00172A27"/>
    <w:rsid w:val="00000D18"/>
    <w:rsid w:val="000076A8"/>
    <w:rsid w:val="00013B2C"/>
    <w:rsid w:val="000251BC"/>
    <w:rsid w:val="00031EDC"/>
    <w:rsid w:val="00032FBF"/>
    <w:rsid w:val="0004190F"/>
    <w:rsid w:val="0006665D"/>
    <w:rsid w:val="000752AD"/>
    <w:rsid w:val="000A060B"/>
    <w:rsid w:val="000B7145"/>
    <w:rsid w:val="000C0917"/>
    <w:rsid w:val="000D1EEA"/>
    <w:rsid w:val="000E0A29"/>
    <w:rsid w:val="000E4A02"/>
    <w:rsid w:val="000F4529"/>
    <w:rsid w:val="000F7A15"/>
    <w:rsid w:val="00106CE5"/>
    <w:rsid w:val="00110AC1"/>
    <w:rsid w:val="00110FC0"/>
    <w:rsid w:val="00114B26"/>
    <w:rsid w:val="00121DE3"/>
    <w:rsid w:val="00127A0C"/>
    <w:rsid w:val="00135DE9"/>
    <w:rsid w:val="00136571"/>
    <w:rsid w:val="0014063C"/>
    <w:rsid w:val="001716C9"/>
    <w:rsid w:val="00172A27"/>
    <w:rsid w:val="001764CF"/>
    <w:rsid w:val="00180E8C"/>
    <w:rsid w:val="001C3E04"/>
    <w:rsid w:val="001C65A5"/>
    <w:rsid w:val="001D76A0"/>
    <w:rsid w:val="002051B0"/>
    <w:rsid w:val="0021568D"/>
    <w:rsid w:val="002421F3"/>
    <w:rsid w:val="0025795E"/>
    <w:rsid w:val="002A5DDA"/>
    <w:rsid w:val="002B1EA1"/>
    <w:rsid w:val="002B2792"/>
    <w:rsid w:val="002B5738"/>
    <w:rsid w:val="003046C0"/>
    <w:rsid w:val="003146EB"/>
    <w:rsid w:val="003168B2"/>
    <w:rsid w:val="00342805"/>
    <w:rsid w:val="00356C12"/>
    <w:rsid w:val="0036096D"/>
    <w:rsid w:val="003712F0"/>
    <w:rsid w:val="00372B7B"/>
    <w:rsid w:val="00382BB7"/>
    <w:rsid w:val="00385F42"/>
    <w:rsid w:val="00394720"/>
    <w:rsid w:val="003A22AA"/>
    <w:rsid w:val="003C56D1"/>
    <w:rsid w:val="003D2184"/>
    <w:rsid w:val="003E6473"/>
    <w:rsid w:val="003F6DC0"/>
    <w:rsid w:val="00402082"/>
    <w:rsid w:val="0040435F"/>
    <w:rsid w:val="00415566"/>
    <w:rsid w:val="0042296F"/>
    <w:rsid w:val="00426B09"/>
    <w:rsid w:val="00432C2B"/>
    <w:rsid w:val="004413F5"/>
    <w:rsid w:val="00453D13"/>
    <w:rsid w:val="00456D35"/>
    <w:rsid w:val="00461E20"/>
    <w:rsid w:val="004646BB"/>
    <w:rsid w:val="00464AC6"/>
    <w:rsid w:val="00474E11"/>
    <w:rsid w:val="00476C84"/>
    <w:rsid w:val="004853F9"/>
    <w:rsid w:val="0049067C"/>
    <w:rsid w:val="00496215"/>
    <w:rsid w:val="00496ED9"/>
    <w:rsid w:val="004A215B"/>
    <w:rsid w:val="004B35E2"/>
    <w:rsid w:val="004B42FE"/>
    <w:rsid w:val="004C7EAD"/>
    <w:rsid w:val="004D001F"/>
    <w:rsid w:val="004D45FF"/>
    <w:rsid w:val="004E3115"/>
    <w:rsid w:val="004F3029"/>
    <w:rsid w:val="0050067C"/>
    <w:rsid w:val="005026B6"/>
    <w:rsid w:val="00502E9C"/>
    <w:rsid w:val="00520FE3"/>
    <w:rsid w:val="0052527D"/>
    <w:rsid w:val="00527CF4"/>
    <w:rsid w:val="00532959"/>
    <w:rsid w:val="005515C2"/>
    <w:rsid w:val="00556BB3"/>
    <w:rsid w:val="0056159D"/>
    <w:rsid w:val="00563FA2"/>
    <w:rsid w:val="005703A5"/>
    <w:rsid w:val="005761E2"/>
    <w:rsid w:val="005858D9"/>
    <w:rsid w:val="0059023D"/>
    <w:rsid w:val="00593A35"/>
    <w:rsid w:val="005B02EB"/>
    <w:rsid w:val="005D4B0E"/>
    <w:rsid w:val="0060293E"/>
    <w:rsid w:val="00605E6F"/>
    <w:rsid w:val="00613EDC"/>
    <w:rsid w:val="0062262A"/>
    <w:rsid w:val="006264DF"/>
    <w:rsid w:val="00627ADB"/>
    <w:rsid w:val="00646058"/>
    <w:rsid w:val="00661F6B"/>
    <w:rsid w:val="00664FF6"/>
    <w:rsid w:val="006655B9"/>
    <w:rsid w:val="006672F6"/>
    <w:rsid w:val="006B22F5"/>
    <w:rsid w:val="006B72D8"/>
    <w:rsid w:val="006C7C57"/>
    <w:rsid w:val="006D2E8D"/>
    <w:rsid w:val="006D389E"/>
    <w:rsid w:val="007100ED"/>
    <w:rsid w:val="00711238"/>
    <w:rsid w:val="0071206F"/>
    <w:rsid w:val="00712771"/>
    <w:rsid w:val="00720F84"/>
    <w:rsid w:val="0073320D"/>
    <w:rsid w:val="00736A80"/>
    <w:rsid w:val="00742D08"/>
    <w:rsid w:val="007460EB"/>
    <w:rsid w:val="00746C2A"/>
    <w:rsid w:val="007713DA"/>
    <w:rsid w:val="00792EEF"/>
    <w:rsid w:val="007A4530"/>
    <w:rsid w:val="007A6F30"/>
    <w:rsid w:val="007A7D7C"/>
    <w:rsid w:val="007B371D"/>
    <w:rsid w:val="007B4CF9"/>
    <w:rsid w:val="007D738A"/>
    <w:rsid w:val="007F2858"/>
    <w:rsid w:val="007F717B"/>
    <w:rsid w:val="007F74C6"/>
    <w:rsid w:val="007F7552"/>
    <w:rsid w:val="00800D77"/>
    <w:rsid w:val="00804B8F"/>
    <w:rsid w:val="00804DE1"/>
    <w:rsid w:val="008057B4"/>
    <w:rsid w:val="00854B7A"/>
    <w:rsid w:val="00870B23"/>
    <w:rsid w:val="00891E31"/>
    <w:rsid w:val="008A10B2"/>
    <w:rsid w:val="008B1C28"/>
    <w:rsid w:val="008C24CC"/>
    <w:rsid w:val="008C7E7C"/>
    <w:rsid w:val="008D1D7F"/>
    <w:rsid w:val="008F64E9"/>
    <w:rsid w:val="008F77EE"/>
    <w:rsid w:val="00904EA2"/>
    <w:rsid w:val="00940831"/>
    <w:rsid w:val="00950339"/>
    <w:rsid w:val="00960FAA"/>
    <w:rsid w:val="009626AA"/>
    <w:rsid w:val="0097726C"/>
    <w:rsid w:val="0098145D"/>
    <w:rsid w:val="009830FD"/>
    <w:rsid w:val="009918C4"/>
    <w:rsid w:val="009A084D"/>
    <w:rsid w:val="009B005C"/>
    <w:rsid w:val="009B0125"/>
    <w:rsid w:val="009B58AF"/>
    <w:rsid w:val="009C379C"/>
    <w:rsid w:val="009D40D8"/>
    <w:rsid w:val="009D718A"/>
    <w:rsid w:val="009E1B35"/>
    <w:rsid w:val="009E74AD"/>
    <w:rsid w:val="009F29D5"/>
    <w:rsid w:val="009F3F06"/>
    <w:rsid w:val="00A05634"/>
    <w:rsid w:val="00A127DE"/>
    <w:rsid w:val="00A24A6E"/>
    <w:rsid w:val="00A55870"/>
    <w:rsid w:val="00A62859"/>
    <w:rsid w:val="00A6428F"/>
    <w:rsid w:val="00A73B46"/>
    <w:rsid w:val="00A82D19"/>
    <w:rsid w:val="00A93B61"/>
    <w:rsid w:val="00A950CC"/>
    <w:rsid w:val="00A96029"/>
    <w:rsid w:val="00AA1054"/>
    <w:rsid w:val="00AB3F05"/>
    <w:rsid w:val="00AC1815"/>
    <w:rsid w:val="00AC36A7"/>
    <w:rsid w:val="00AE1D23"/>
    <w:rsid w:val="00AF121D"/>
    <w:rsid w:val="00B029F9"/>
    <w:rsid w:val="00B0524B"/>
    <w:rsid w:val="00B16C30"/>
    <w:rsid w:val="00B273B0"/>
    <w:rsid w:val="00B418A3"/>
    <w:rsid w:val="00B533A2"/>
    <w:rsid w:val="00B5658A"/>
    <w:rsid w:val="00B62C32"/>
    <w:rsid w:val="00B85A0D"/>
    <w:rsid w:val="00B90446"/>
    <w:rsid w:val="00BA14F2"/>
    <w:rsid w:val="00BA5BFE"/>
    <w:rsid w:val="00BB4944"/>
    <w:rsid w:val="00BD0C60"/>
    <w:rsid w:val="00BE2645"/>
    <w:rsid w:val="00BE67F0"/>
    <w:rsid w:val="00C064EA"/>
    <w:rsid w:val="00C3372B"/>
    <w:rsid w:val="00C358B5"/>
    <w:rsid w:val="00C42CBD"/>
    <w:rsid w:val="00C4451C"/>
    <w:rsid w:val="00C51B18"/>
    <w:rsid w:val="00C5461F"/>
    <w:rsid w:val="00C61A3F"/>
    <w:rsid w:val="00C63FD3"/>
    <w:rsid w:val="00C70626"/>
    <w:rsid w:val="00C95434"/>
    <w:rsid w:val="00CA27D4"/>
    <w:rsid w:val="00CA2A45"/>
    <w:rsid w:val="00CA6F63"/>
    <w:rsid w:val="00CC62F4"/>
    <w:rsid w:val="00CC75B4"/>
    <w:rsid w:val="00CE3455"/>
    <w:rsid w:val="00CF0E73"/>
    <w:rsid w:val="00CF47E1"/>
    <w:rsid w:val="00CF6E94"/>
    <w:rsid w:val="00D0634E"/>
    <w:rsid w:val="00D1386F"/>
    <w:rsid w:val="00D156EC"/>
    <w:rsid w:val="00D320C3"/>
    <w:rsid w:val="00D83A19"/>
    <w:rsid w:val="00DA0D89"/>
    <w:rsid w:val="00DA3C8F"/>
    <w:rsid w:val="00DB35E3"/>
    <w:rsid w:val="00DC6FE4"/>
    <w:rsid w:val="00DD0014"/>
    <w:rsid w:val="00DD5690"/>
    <w:rsid w:val="00DE1B2B"/>
    <w:rsid w:val="00DE7187"/>
    <w:rsid w:val="00DF0E83"/>
    <w:rsid w:val="00DF2823"/>
    <w:rsid w:val="00DF3D1C"/>
    <w:rsid w:val="00E055F9"/>
    <w:rsid w:val="00E11158"/>
    <w:rsid w:val="00E23166"/>
    <w:rsid w:val="00E27593"/>
    <w:rsid w:val="00E33B82"/>
    <w:rsid w:val="00E37D7D"/>
    <w:rsid w:val="00E42839"/>
    <w:rsid w:val="00E43D1B"/>
    <w:rsid w:val="00E43E56"/>
    <w:rsid w:val="00E46E07"/>
    <w:rsid w:val="00E509DB"/>
    <w:rsid w:val="00E51087"/>
    <w:rsid w:val="00E751D8"/>
    <w:rsid w:val="00E90C93"/>
    <w:rsid w:val="00E91FB3"/>
    <w:rsid w:val="00E9483C"/>
    <w:rsid w:val="00E95915"/>
    <w:rsid w:val="00EA7263"/>
    <w:rsid w:val="00EC7D20"/>
    <w:rsid w:val="00EE0078"/>
    <w:rsid w:val="00EE1486"/>
    <w:rsid w:val="00EE5C90"/>
    <w:rsid w:val="00EE7267"/>
    <w:rsid w:val="00EF18FB"/>
    <w:rsid w:val="00F05D98"/>
    <w:rsid w:val="00F3084E"/>
    <w:rsid w:val="00F347DB"/>
    <w:rsid w:val="00F3591D"/>
    <w:rsid w:val="00F572D6"/>
    <w:rsid w:val="00F6067C"/>
    <w:rsid w:val="00F6299C"/>
    <w:rsid w:val="00F65DD0"/>
    <w:rsid w:val="00F67637"/>
    <w:rsid w:val="00F739E9"/>
    <w:rsid w:val="00F7709D"/>
    <w:rsid w:val="00F838D5"/>
    <w:rsid w:val="00FA5733"/>
    <w:rsid w:val="00FA5D36"/>
    <w:rsid w:val="00FB0456"/>
    <w:rsid w:val="00FE2E5A"/>
    <w:rsid w:val="00FF5BE3"/>
    <w:rsid w:val="012E0A52"/>
    <w:rsid w:val="01C525BA"/>
    <w:rsid w:val="01EC20E2"/>
    <w:rsid w:val="02161284"/>
    <w:rsid w:val="02982932"/>
    <w:rsid w:val="02C445F5"/>
    <w:rsid w:val="03443858"/>
    <w:rsid w:val="037A3DCF"/>
    <w:rsid w:val="03C95BF7"/>
    <w:rsid w:val="03FD05D6"/>
    <w:rsid w:val="04695C6C"/>
    <w:rsid w:val="04A84969"/>
    <w:rsid w:val="05444AD9"/>
    <w:rsid w:val="063A282A"/>
    <w:rsid w:val="064A7E58"/>
    <w:rsid w:val="0696261C"/>
    <w:rsid w:val="06D82D40"/>
    <w:rsid w:val="06DD1C15"/>
    <w:rsid w:val="071719AF"/>
    <w:rsid w:val="071D4CA8"/>
    <w:rsid w:val="072212E4"/>
    <w:rsid w:val="0802297B"/>
    <w:rsid w:val="08295AFE"/>
    <w:rsid w:val="087529AC"/>
    <w:rsid w:val="09510A7C"/>
    <w:rsid w:val="0A335709"/>
    <w:rsid w:val="0A7333A0"/>
    <w:rsid w:val="0C917B0E"/>
    <w:rsid w:val="0CE642FD"/>
    <w:rsid w:val="0F101AE8"/>
    <w:rsid w:val="0FC94C6B"/>
    <w:rsid w:val="105624E8"/>
    <w:rsid w:val="108E6C4D"/>
    <w:rsid w:val="10FD39C4"/>
    <w:rsid w:val="11115EF7"/>
    <w:rsid w:val="1154735C"/>
    <w:rsid w:val="11880D19"/>
    <w:rsid w:val="11E0713A"/>
    <w:rsid w:val="12704669"/>
    <w:rsid w:val="1295093C"/>
    <w:rsid w:val="13732061"/>
    <w:rsid w:val="15415E49"/>
    <w:rsid w:val="157D3325"/>
    <w:rsid w:val="15DB64A7"/>
    <w:rsid w:val="16187DFB"/>
    <w:rsid w:val="1647748F"/>
    <w:rsid w:val="17D925E9"/>
    <w:rsid w:val="180916EC"/>
    <w:rsid w:val="184B7AA0"/>
    <w:rsid w:val="1919291E"/>
    <w:rsid w:val="199B1FCC"/>
    <w:rsid w:val="19B533F9"/>
    <w:rsid w:val="19E77FBB"/>
    <w:rsid w:val="1A4A3AD3"/>
    <w:rsid w:val="1A74711C"/>
    <w:rsid w:val="1C24274C"/>
    <w:rsid w:val="1C316C17"/>
    <w:rsid w:val="1CF37C34"/>
    <w:rsid w:val="1E0208EF"/>
    <w:rsid w:val="1E0A74D2"/>
    <w:rsid w:val="200A1C59"/>
    <w:rsid w:val="20224939"/>
    <w:rsid w:val="20370CD3"/>
    <w:rsid w:val="215A6C10"/>
    <w:rsid w:val="218F3D3D"/>
    <w:rsid w:val="236E24FF"/>
    <w:rsid w:val="23DB3F63"/>
    <w:rsid w:val="23DC1B5F"/>
    <w:rsid w:val="2437705E"/>
    <w:rsid w:val="24465EFD"/>
    <w:rsid w:val="245F0392"/>
    <w:rsid w:val="24F4159F"/>
    <w:rsid w:val="25D32AED"/>
    <w:rsid w:val="25E44CFA"/>
    <w:rsid w:val="263A0DBE"/>
    <w:rsid w:val="267B0D76"/>
    <w:rsid w:val="26870D1D"/>
    <w:rsid w:val="26E13508"/>
    <w:rsid w:val="27D35027"/>
    <w:rsid w:val="27E14E07"/>
    <w:rsid w:val="27E17743"/>
    <w:rsid w:val="283E4B96"/>
    <w:rsid w:val="28460B31"/>
    <w:rsid w:val="2926152D"/>
    <w:rsid w:val="2A666F32"/>
    <w:rsid w:val="2A69165F"/>
    <w:rsid w:val="2A99328D"/>
    <w:rsid w:val="2B6A088C"/>
    <w:rsid w:val="2BAE5A66"/>
    <w:rsid w:val="2C0B2AAE"/>
    <w:rsid w:val="2C1A6E5F"/>
    <w:rsid w:val="2CD77367"/>
    <w:rsid w:val="2CD80DAE"/>
    <w:rsid w:val="2CF14102"/>
    <w:rsid w:val="2D60446D"/>
    <w:rsid w:val="2DD00881"/>
    <w:rsid w:val="2E7712D2"/>
    <w:rsid w:val="2ECD221B"/>
    <w:rsid w:val="2FB7522E"/>
    <w:rsid w:val="305B3E0B"/>
    <w:rsid w:val="311C3EA2"/>
    <w:rsid w:val="31603797"/>
    <w:rsid w:val="31666568"/>
    <w:rsid w:val="316D0374"/>
    <w:rsid w:val="31A541E8"/>
    <w:rsid w:val="31A57A34"/>
    <w:rsid w:val="31BB6926"/>
    <w:rsid w:val="32224585"/>
    <w:rsid w:val="33204191"/>
    <w:rsid w:val="366C35A6"/>
    <w:rsid w:val="368E167F"/>
    <w:rsid w:val="36960F1A"/>
    <w:rsid w:val="370A4E5E"/>
    <w:rsid w:val="37DF5322"/>
    <w:rsid w:val="38EF7122"/>
    <w:rsid w:val="398A6898"/>
    <w:rsid w:val="39CB0253"/>
    <w:rsid w:val="3A0413B4"/>
    <w:rsid w:val="3A48142C"/>
    <w:rsid w:val="3A664FA0"/>
    <w:rsid w:val="3AA62BAF"/>
    <w:rsid w:val="3BF07AFD"/>
    <w:rsid w:val="3C482648"/>
    <w:rsid w:val="3C6969C3"/>
    <w:rsid w:val="3C872935"/>
    <w:rsid w:val="3CCF7785"/>
    <w:rsid w:val="3CF54716"/>
    <w:rsid w:val="3D1970B4"/>
    <w:rsid w:val="3D5440BC"/>
    <w:rsid w:val="3D646828"/>
    <w:rsid w:val="3E703177"/>
    <w:rsid w:val="3EA20EFE"/>
    <w:rsid w:val="3F6031EC"/>
    <w:rsid w:val="3F6F33F4"/>
    <w:rsid w:val="3F855194"/>
    <w:rsid w:val="403703F1"/>
    <w:rsid w:val="404E501F"/>
    <w:rsid w:val="41160A7F"/>
    <w:rsid w:val="41B6622A"/>
    <w:rsid w:val="4244548C"/>
    <w:rsid w:val="427A727D"/>
    <w:rsid w:val="443C4228"/>
    <w:rsid w:val="4575359A"/>
    <w:rsid w:val="46487E6C"/>
    <w:rsid w:val="468C56C4"/>
    <w:rsid w:val="471240D9"/>
    <w:rsid w:val="472B40E0"/>
    <w:rsid w:val="47596E9F"/>
    <w:rsid w:val="47C36A0E"/>
    <w:rsid w:val="488E2722"/>
    <w:rsid w:val="49A017B1"/>
    <w:rsid w:val="49A56CF9"/>
    <w:rsid w:val="4B313C8F"/>
    <w:rsid w:val="4C820C46"/>
    <w:rsid w:val="4E45017D"/>
    <w:rsid w:val="4F820F5D"/>
    <w:rsid w:val="4FDE710C"/>
    <w:rsid w:val="5092657F"/>
    <w:rsid w:val="5139389D"/>
    <w:rsid w:val="51484635"/>
    <w:rsid w:val="51A01A31"/>
    <w:rsid w:val="51AB479B"/>
    <w:rsid w:val="52306A4E"/>
    <w:rsid w:val="52B96A43"/>
    <w:rsid w:val="530556EE"/>
    <w:rsid w:val="530C3017"/>
    <w:rsid w:val="53D65339"/>
    <w:rsid w:val="53E04EE9"/>
    <w:rsid w:val="54200A6B"/>
    <w:rsid w:val="544730A5"/>
    <w:rsid w:val="5721105B"/>
    <w:rsid w:val="57310CA3"/>
    <w:rsid w:val="57A10911"/>
    <w:rsid w:val="584B45E2"/>
    <w:rsid w:val="58645323"/>
    <w:rsid w:val="58892C4B"/>
    <w:rsid w:val="59914E4A"/>
    <w:rsid w:val="5A355549"/>
    <w:rsid w:val="5A6D3097"/>
    <w:rsid w:val="5A783DD9"/>
    <w:rsid w:val="5B9C5A18"/>
    <w:rsid w:val="5BBE331C"/>
    <w:rsid w:val="5BC87317"/>
    <w:rsid w:val="5BD159E5"/>
    <w:rsid w:val="5CDE59D8"/>
    <w:rsid w:val="5CF61AD7"/>
    <w:rsid w:val="5EC0115A"/>
    <w:rsid w:val="60B82A30"/>
    <w:rsid w:val="60DE061A"/>
    <w:rsid w:val="61280D4A"/>
    <w:rsid w:val="62742987"/>
    <w:rsid w:val="641A3BD8"/>
    <w:rsid w:val="64421FF9"/>
    <w:rsid w:val="646031C3"/>
    <w:rsid w:val="65D200F0"/>
    <w:rsid w:val="66CF6F4C"/>
    <w:rsid w:val="66D02156"/>
    <w:rsid w:val="67323C41"/>
    <w:rsid w:val="67E5006B"/>
    <w:rsid w:val="68555847"/>
    <w:rsid w:val="6A0740E0"/>
    <w:rsid w:val="6A1F2194"/>
    <w:rsid w:val="6BAA0B55"/>
    <w:rsid w:val="6BAC69A0"/>
    <w:rsid w:val="6BB90FAB"/>
    <w:rsid w:val="6C68348F"/>
    <w:rsid w:val="6E445155"/>
    <w:rsid w:val="6FFC0FC4"/>
    <w:rsid w:val="70022762"/>
    <w:rsid w:val="7075449A"/>
    <w:rsid w:val="7107516A"/>
    <w:rsid w:val="71213CDA"/>
    <w:rsid w:val="713F0604"/>
    <w:rsid w:val="7143510B"/>
    <w:rsid w:val="72A9298C"/>
    <w:rsid w:val="73AD4A1B"/>
    <w:rsid w:val="74381A66"/>
    <w:rsid w:val="74611F63"/>
    <w:rsid w:val="74A9042F"/>
    <w:rsid w:val="761A542C"/>
    <w:rsid w:val="76DE49E6"/>
    <w:rsid w:val="770976EA"/>
    <w:rsid w:val="77153939"/>
    <w:rsid w:val="776141BB"/>
    <w:rsid w:val="77905FE1"/>
    <w:rsid w:val="77A03442"/>
    <w:rsid w:val="77C33D3D"/>
    <w:rsid w:val="79807D65"/>
    <w:rsid w:val="79B770A3"/>
    <w:rsid w:val="7A3F3423"/>
    <w:rsid w:val="7A6537AA"/>
    <w:rsid w:val="7B1232C3"/>
    <w:rsid w:val="7C4137B7"/>
    <w:rsid w:val="7EEA3B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5"/>
    <w:autoRedefine/>
    <w:semiHidden/>
    <w:unhideWhenUsed/>
    <w:qFormat/>
    <w:uiPriority w:val="0"/>
    <w:pPr>
      <w:jc w:val="left"/>
    </w:pPr>
  </w:style>
  <w:style w:type="paragraph" w:styleId="4">
    <w:name w:val="Body Text"/>
    <w:basedOn w:val="1"/>
    <w:autoRedefine/>
    <w:qFormat/>
    <w:uiPriority w:val="0"/>
    <w:pPr>
      <w:snapToGrid w:val="0"/>
      <w:spacing w:after="120"/>
    </w:pPr>
    <w:rPr>
      <w:rFonts w:ascii="Times New Roman" w:hAnsi="Times New Roman" w:eastAsia="宋体" w:cs="Times New Roman"/>
      <w:sz w:val="24"/>
      <w:szCs w:val="21"/>
    </w:rPr>
  </w:style>
  <w:style w:type="paragraph" w:styleId="5">
    <w:name w:val="Body Text Indent"/>
    <w:basedOn w:val="1"/>
    <w:unhideWhenUsed/>
    <w:qFormat/>
    <w:uiPriority w:val="99"/>
    <w:pPr>
      <w:ind w:firstLine="454"/>
    </w:pPr>
  </w:style>
  <w:style w:type="paragraph" w:styleId="6">
    <w:name w:val="Balloon Text"/>
    <w:basedOn w:val="1"/>
    <w:link w:val="27"/>
    <w:autoRedefine/>
    <w:semiHidden/>
    <w:unhideWhenUsed/>
    <w:qFormat/>
    <w:uiPriority w:val="0"/>
    <w:rPr>
      <w:sz w:val="18"/>
      <w:szCs w:val="18"/>
    </w:rPr>
  </w:style>
  <w:style w:type="paragraph" w:styleId="7">
    <w:name w:val="footer"/>
    <w:basedOn w:val="1"/>
    <w:link w:val="21"/>
    <w:autoRedefine/>
    <w:qFormat/>
    <w:uiPriority w:val="0"/>
    <w:pPr>
      <w:tabs>
        <w:tab w:val="center" w:pos="4153"/>
        <w:tab w:val="right" w:pos="8306"/>
      </w:tabs>
      <w:snapToGrid w:val="0"/>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Autospacing="1" w:afterAutospacing="1"/>
      <w:jc w:val="left"/>
    </w:pPr>
    <w:rPr>
      <w:kern w:val="0"/>
      <w:sz w:val="24"/>
    </w:rPr>
  </w:style>
  <w:style w:type="paragraph" w:styleId="11">
    <w:name w:val="annotation subject"/>
    <w:basedOn w:val="3"/>
    <w:next w:val="3"/>
    <w:link w:val="26"/>
    <w:autoRedefine/>
    <w:semiHidden/>
    <w:unhideWhenUsed/>
    <w:qFormat/>
    <w:uiPriority w:val="0"/>
    <w:rPr>
      <w:b/>
      <w:bCs/>
    </w:rPr>
  </w:style>
  <w:style w:type="paragraph" w:styleId="12">
    <w:name w:val="Body Text First Indent 2"/>
    <w:basedOn w:val="5"/>
    <w:unhideWhenUsed/>
    <w:qFormat/>
    <w:uiPriority w:val="99"/>
    <w:pPr>
      <w:spacing w:after="120"/>
      <w:ind w:left="420" w:leftChars="200" w:firstLine="420"/>
    </w:pPr>
    <w:rPr>
      <w:rFonts w:eastAsia="Times New Roman"/>
      <w:lang w:val="zh-CN"/>
    </w:rPr>
  </w:style>
  <w:style w:type="table" w:styleId="14">
    <w:name w:val="Table Grid"/>
    <w:basedOn w:val="13"/>
    <w:autoRedefine/>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u w:val="single"/>
    </w:rPr>
  </w:style>
  <w:style w:type="character" w:styleId="17">
    <w:name w:val="annotation reference"/>
    <w:basedOn w:val="15"/>
    <w:autoRedefine/>
    <w:semiHidden/>
    <w:unhideWhenUsed/>
    <w:qFormat/>
    <w:uiPriority w:val="0"/>
    <w:rPr>
      <w:sz w:val="21"/>
      <w:szCs w:val="21"/>
    </w:rPr>
  </w:style>
  <w:style w:type="paragraph" w:customStyle="1" w:styleId="18">
    <w:name w:val="Table Paragraph"/>
    <w:basedOn w:val="1"/>
    <w:autoRedefine/>
    <w:qFormat/>
    <w:uiPriority w:val="0"/>
    <w:pPr>
      <w:jc w:val="left"/>
    </w:pPr>
    <w:rPr>
      <w:kern w:val="0"/>
      <w:sz w:val="22"/>
      <w:szCs w:val="22"/>
    </w:rPr>
  </w:style>
  <w:style w:type="table" w:customStyle="1" w:styleId="19">
    <w:name w:val="Table Normal"/>
    <w:basedOn w:val="13"/>
    <w:autoRedefine/>
    <w:semiHidden/>
    <w:qFormat/>
    <w:uiPriority w:val="0"/>
    <w:tblPr>
      <w:tblCellMar>
        <w:left w:w="0" w:type="dxa"/>
        <w:right w:w="0" w:type="dxa"/>
      </w:tblCellMar>
    </w:tblPr>
  </w:style>
  <w:style w:type="character" w:customStyle="1" w:styleId="20">
    <w:name w:val="页眉 字符"/>
    <w:link w:val="8"/>
    <w:autoRedefine/>
    <w:qFormat/>
    <w:uiPriority w:val="0"/>
    <w:rPr>
      <w:rFonts w:cs="Times New Roman"/>
      <w:kern w:val="2"/>
      <w:sz w:val="18"/>
      <w:szCs w:val="18"/>
    </w:rPr>
  </w:style>
  <w:style w:type="character" w:customStyle="1" w:styleId="21">
    <w:name w:val="页脚 字符"/>
    <w:link w:val="7"/>
    <w:autoRedefine/>
    <w:qFormat/>
    <w:uiPriority w:val="0"/>
    <w:rPr>
      <w:rFonts w:cs="Times New Roman"/>
      <w:kern w:val="2"/>
      <w:sz w:val="18"/>
      <w:szCs w:val="18"/>
    </w:rPr>
  </w:style>
  <w:style w:type="paragraph" w:customStyle="1" w:styleId="22">
    <w:name w:val="列表段落1"/>
    <w:basedOn w:val="1"/>
    <w:autoRedefine/>
    <w:qFormat/>
    <w:uiPriority w:val="99"/>
    <w:pPr>
      <w:ind w:firstLine="420" w:firstLineChars="200"/>
    </w:pPr>
  </w:style>
  <w:style w:type="character" w:customStyle="1" w:styleId="23">
    <w:name w:val="oli-avatar-text"/>
    <w:basedOn w:val="15"/>
    <w:autoRedefine/>
    <w:qFormat/>
    <w:uiPriority w:val="0"/>
  </w:style>
  <w:style w:type="paragraph" w:styleId="24">
    <w:name w:val="List Paragraph"/>
    <w:basedOn w:val="1"/>
    <w:autoRedefine/>
    <w:qFormat/>
    <w:uiPriority w:val="99"/>
    <w:pPr>
      <w:ind w:firstLine="420" w:firstLineChars="200"/>
    </w:pPr>
  </w:style>
  <w:style w:type="character" w:customStyle="1" w:styleId="25">
    <w:name w:val="批注文字 字符"/>
    <w:basedOn w:val="15"/>
    <w:link w:val="3"/>
    <w:autoRedefine/>
    <w:semiHidden/>
    <w:qFormat/>
    <w:uiPriority w:val="0"/>
    <w:rPr>
      <w:rFonts w:cs="Times New Roman"/>
      <w:kern w:val="2"/>
      <w:sz w:val="21"/>
      <w:szCs w:val="24"/>
    </w:rPr>
  </w:style>
  <w:style w:type="character" w:customStyle="1" w:styleId="26">
    <w:name w:val="批注主题 字符"/>
    <w:basedOn w:val="25"/>
    <w:link w:val="11"/>
    <w:autoRedefine/>
    <w:semiHidden/>
    <w:qFormat/>
    <w:uiPriority w:val="0"/>
    <w:rPr>
      <w:rFonts w:cs="Times New Roman"/>
      <w:b/>
      <w:bCs/>
      <w:kern w:val="2"/>
      <w:sz w:val="21"/>
      <w:szCs w:val="24"/>
    </w:rPr>
  </w:style>
  <w:style w:type="character" w:customStyle="1" w:styleId="27">
    <w:name w:val="批注框文本 字符"/>
    <w:basedOn w:val="15"/>
    <w:link w:val="6"/>
    <w:autoRedefine/>
    <w:semiHidden/>
    <w:qFormat/>
    <w:uiPriority w:val="0"/>
    <w:rPr>
      <w:rFonts w:cs="Times New Roman"/>
      <w:kern w:val="2"/>
      <w:sz w:val="18"/>
      <w:szCs w:val="18"/>
    </w:r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修订1"/>
    <w:autoRedefine/>
    <w:hidden/>
    <w:semiHidden/>
    <w:qFormat/>
    <w:uiPriority w:val="99"/>
    <w:rPr>
      <w:rFonts w:ascii="Calibri" w:hAnsi="Calibri" w:eastAsia="宋体" w:cs="Times New Roman"/>
      <w:kern w:val="2"/>
      <w:sz w:val="21"/>
      <w:szCs w:val="24"/>
      <w:lang w:val="en-US" w:eastAsia="zh-CN" w:bidi="ar-SA"/>
    </w:rPr>
  </w:style>
  <w:style w:type="paragraph" w:customStyle="1" w:styleId="30">
    <w:name w:val="004四级标题"/>
    <w:autoRedefine/>
    <w:qFormat/>
    <w:uiPriority w:val="0"/>
    <w:pPr>
      <w:keepNext/>
      <w:keepLines/>
      <w:widowControl w:val="0"/>
      <w:spacing w:before="50" w:beforeLines="50" w:line="360" w:lineRule="auto"/>
      <w:ind w:firstLine="200" w:firstLineChars="200"/>
      <w:jc w:val="both"/>
      <w:outlineLvl w:val="3"/>
    </w:pPr>
    <w:rPr>
      <w:rFonts w:ascii="Times New Roman" w:hAnsi="Times New Roman" w:eastAsia="宋体" w:cs="Times New Roman"/>
      <w:b/>
      <w:kern w:val="2"/>
      <w:sz w:val="24"/>
      <w:szCs w:val="28"/>
      <w:lang w:val="zh-CN" w:eastAsia="zh-CN" w:bidi="ar-SA"/>
    </w:rPr>
  </w:style>
  <w:style w:type="paragraph" w:customStyle="1" w:styleId="31">
    <w:name w:val="Revision"/>
    <w:autoRedefine/>
    <w:hidden/>
    <w:semiHidden/>
    <w:qFormat/>
    <w:uiPriority w:val="99"/>
    <w:rPr>
      <w:rFonts w:ascii="Calibri" w:hAnsi="Calibri" w:eastAsia="宋体" w:cs="Times New Roman"/>
      <w:kern w:val="2"/>
      <w:sz w:val="21"/>
      <w:szCs w:val="24"/>
      <w:lang w:val="en-US" w:eastAsia="zh-CN" w:bidi="ar-SA"/>
    </w:rPr>
  </w:style>
  <w:style w:type="paragraph" w:customStyle="1" w:styleId="32">
    <w:name w:val="005正文"/>
    <w:autoRedefine/>
    <w:qFormat/>
    <w:uiPriority w:val="0"/>
    <w:pPr>
      <w:widowControl w:val="0"/>
      <w:spacing w:before="50" w:beforeLines="50" w:line="360" w:lineRule="auto"/>
      <w:ind w:firstLine="200" w:firstLineChars="200"/>
      <w:jc w:val="both"/>
    </w:pPr>
    <w:rPr>
      <w:rFonts w:ascii="Times New Roman"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1849</Words>
  <Characters>2044</Characters>
  <Lines>35</Lines>
  <Paragraphs>10</Paragraphs>
  <TotalTime>51</TotalTime>
  <ScaleCrop>false</ScaleCrop>
  <LinksUpToDate>false</LinksUpToDate>
  <CharactersWithSpaces>2141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2022-11-28T02:42:00Z</dcterms:created>
  <dc:creator>86186</dc:creator>
  <cp:lastModifiedBy>赵青</cp:lastModifiedBy>
  <cp:lastPrinted>2025-05-30T08:57:00Z</cp:lastPrinted>
  <dcterms:modified xsi:type="dcterms:W3CDTF">2025-07-10T09:53:01Z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A09C255A0B1B49D8961C5975B4580AC8_13</vt:lpwstr>
  </property>
  <property fmtid="{D5CDD505-2E9C-101B-9397-08002B2CF9AE}" pid="4" name="KSOTemplateDocerSaveRecord">
    <vt:lpwstr>eyJoZGlkIjoiMjI0YjZiMWFmMWQ1YWUwZTdhOGQ3MzI4NDgzYjNhYjQiLCJ1c2VySWQiOiIyNTQ4MDMzODYifQ==</vt:lpwstr>
  </property>
</Properties>
</file>