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F7F93">
      <w:pPr>
        <w:keepNext/>
        <w:keepLines/>
        <w:spacing w:before="260" w:after="260" w:line="360" w:lineRule="auto"/>
        <w:outlineLvl w:val="1"/>
        <w:rPr>
          <w:rFonts w:hint="eastAsia" w:ascii="宋体" w:hAnsi="宋体"/>
          <w:b/>
          <w:bCs/>
          <w:iCs/>
          <w:sz w:val="24"/>
          <w:szCs w:val="24"/>
        </w:rPr>
      </w:pPr>
      <w:r>
        <w:rPr>
          <w:rFonts w:hint="eastAsia" w:ascii="宋体" w:hAnsi="宋体"/>
          <w:b/>
          <w:bCs/>
          <w:iCs/>
          <w:sz w:val="24"/>
          <w:szCs w:val="24"/>
        </w:rPr>
        <w:t>证券代码：688621                                证券简称：阳光诺和</w:t>
      </w:r>
    </w:p>
    <w:p w14:paraId="193C9A26">
      <w:pPr>
        <w:keepNext/>
        <w:keepLines/>
        <w:spacing w:before="20" w:after="20"/>
        <w:jc w:val="center"/>
        <w:outlineLvl w:val="1"/>
        <w:rPr>
          <w:rFonts w:hint="eastAsia" w:ascii="宋体" w:hAnsi="宋体"/>
          <w:b/>
          <w:bCs/>
          <w:sz w:val="36"/>
          <w:szCs w:val="36"/>
        </w:rPr>
      </w:pPr>
      <w:r>
        <w:rPr>
          <w:rFonts w:hint="eastAsia" w:ascii="宋体" w:hAnsi="宋体"/>
          <w:b/>
          <w:sz w:val="36"/>
          <w:szCs w:val="36"/>
        </w:rPr>
        <w:t>北京阳光诺和药物研究</w:t>
      </w:r>
      <w:r>
        <w:rPr>
          <w:rFonts w:hint="eastAsia" w:ascii="宋体" w:hAnsi="宋体"/>
          <w:b/>
          <w:bCs/>
          <w:sz w:val="36"/>
          <w:szCs w:val="36"/>
        </w:rPr>
        <w:t>股份有限公司</w:t>
      </w:r>
    </w:p>
    <w:p w14:paraId="1DE76FD4">
      <w:pPr>
        <w:keepNext/>
        <w:keepLines/>
        <w:spacing w:before="20" w:after="20"/>
        <w:jc w:val="center"/>
        <w:outlineLvl w:val="1"/>
        <w:rPr>
          <w:rFonts w:hint="eastAsia" w:ascii="宋体" w:hAnsi="宋体"/>
          <w:b/>
          <w:bCs/>
          <w:sz w:val="36"/>
          <w:szCs w:val="36"/>
        </w:rPr>
      </w:pPr>
      <w:r>
        <w:rPr>
          <w:rFonts w:hint="eastAsia" w:ascii="宋体" w:hAnsi="宋体"/>
          <w:b/>
          <w:bCs/>
          <w:sz w:val="36"/>
          <w:szCs w:val="36"/>
        </w:rPr>
        <w:t>投资者关系活动记录表</w:t>
      </w:r>
    </w:p>
    <w:p w14:paraId="1D3EAABF">
      <w:pPr>
        <w:spacing w:line="360" w:lineRule="auto"/>
        <w:jc w:val="center"/>
        <w:rPr>
          <w:rFonts w:hint="eastAsia" w:ascii="宋体" w:hAnsi="宋体"/>
          <w:b/>
          <w:iCs/>
          <w:sz w:val="24"/>
          <w:szCs w:val="24"/>
        </w:rPr>
      </w:pPr>
      <w:r>
        <w:rPr>
          <w:rFonts w:hint="eastAsia" w:ascii="宋体" w:hAnsi="宋体"/>
          <w:b/>
          <w:iCs/>
          <w:sz w:val="24"/>
          <w:szCs w:val="24"/>
        </w:rPr>
        <w:t>（20</w:t>
      </w:r>
      <w:r>
        <w:rPr>
          <w:rFonts w:ascii="宋体" w:hAnsi="宋体"/>
          <w:b/>
          <w:iCs/>
          <w:sz w:val="24"/>
          <w:szCs w:val="24"/>
        </w:rPr>
        <w:t>2</w:t>
      </w:r>
      <w:r>
        <w:rPr>
          <w:rFonts w:hint="eastAsia" w:ascii="宋体" w:hAnsi="宋体"/>
          <w:b/>
          <w:iCs/>
          <w:sz w:val="24"/>
          <w:szCs w:val="24"/>
          <w:lang w:val="en-US" w:eastAsia="zh-CN"/>
        </w:rPr>
        <w:t>5</w:t>
      </w:r>
      <w:r>
        <w:rPr>
          <w:rFonts w:hint="eastAsia" w:ascii="宋体" w:hAnsi="宋体"/>
          <w:b/>
          <w:iCs/>
          <w:sz w:val="24"/>
          <w:szCs w:val="24"/>
        </w:rPr>
        <w:t>年</w:t>
      </w:r>
      <w:r>
        <w:rPr>
          <w:rFonts w:hint="eastAsia" w:ascii="宋体" w:hAnsi="宋体"/>
          <w:b/>
          <w:iCs/>
          <w:sz w:val="24"/>
          <w:szCs w:val="24"/>
          <w:lang w:val="en-US" w:eastAsia="zh-CN"/>
        </w:rPr>
        <w:t>7</w:t>
      </w:r>
      <w:r>
        <w:rPr>
          <w:rFonts w:hint="eastAsia" w:ascii="宋体" w:hAnsi="宋体"/>
          <w:b/>
          <w:iCs/>
          <w:sz w:val="24"/>
          <w:szCs w:val="24"/>
        </w:rPr>
        <w:t>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203"/>
      </w:tblGrid>
      <w:tr w14:paraId="2F97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99D38DD">
            <w:pPr>
              <w:spacing w:line="360" w:lineRule="auto"/>
              <w:jc w:val="center"/>
              <w:rPr>
                <w:rFonts w:hint="eastAsia" w:ascii="宋体" w:hAnsi="宋体"/>
                <w:b/>
                <w:bCs/>
                <w:iCs/>
                <w:sz w:val="24"/>
                <w:szCs w:val="24"/>
              </w:rPr>
            </w:pPr>
            <w:r>
              <w:rPr>
                <w:rFonts w:hint="eastAsia" w:ascii="宋体" w:hAnsi="宋体"/>
                <w:b/>
                <w:bCs/>
                <w:iCs/>
                <w:sz w:val="24"/>
                <w:szCs w:val="24"/>
              </w:rPr>
              <w:t>投资者关系活动类别</w:t>
            </w:r>
          </w:p>
        </w:tc>
        <w:tc>
          <w:tcPr>
            <w:tcW w:w="6203" w:type="dxa"/>
            <w:vAlign w:val="center"/>
          </w:tcPr>
          <w:p w14:paraId="4936C92A">
            <w:pPr>
              <w:spacing w:line="360" w:lineRule="auto"/>
              <w:rPr>
                <w:rFonts w:hint="eastAsia" w:ascii="宋体" w:hAnsi="宋体"/>
                <w:bCs/>
                <w:iCs/>
                <w:sz w:val="24"/>
                <w:szCs w:val="24"/>
              </w:rPr>
            </w:pPr>
            <w:r>
              <w:rPr>
                <w:rFonts w:hint="eastAsia" w:ascii="宋体" w:hAnsi="宋体"/>
                <w:bCs/>
                <w:iCs/>
                <w:sz w:val="24"/>
                <w:szCs w:val="24"/>
              </w:rPr>
              <w:sym w:font="Wingdings 2" w:char="0052"/>
            </w:r>
            <w:r>
              <w:rPr>
                <w:rFonts w:hint="eastAsia" w:ascii="宋体" w:hAnsi="宋体"/>
                <w:sz w:val="24"/>
                <w:szCs w:val="24"/>
              </w:rPr>
              <w:t xml:space="preserve">特定对象调研        </w:t>
            </w:r>
            <w:r>
              <w:rPr>
                <w:rFonts w:hint="eastAsia" w:ascii="宋体" w:hAnsi="宋体"/>
                <w:bCs/>
                <w:iCs/>
                <w:sz w:val="24"/>
                <w:szCs w:val="24"/>
              </w:rPr>
              <w:sym w:font="Wingdings 2" w:char="00A3"/>
            </w:r>
            <w:r>
              <w:rPr>
                <w:rFonts w:hint="eastAsia" w:ascii="宋体" w:hAnsi="宋体"/>
                <w:sz w:val="24"/>
                <w:szCs w:val="24"/>
              </w:rPr>
              <w:t>分析师会议</w:t>
            </w:r>
          </w:p>
          <w:p w14:paraId="39B80EF3">
            <w:pPr>
              <w:spacing w:line="360" w:lineRule="auto"/>
              <w:rPr>
                <w:rFonts w:hint="eastAsia" w:ascii="宋体" w:hAnsi="宋体"/>
                <w:bCs/>
                <w:iCs/>
                <w:sz w:val="24"/>
                <w:szCs w:val="24"/>
              </w:rPr>
            </w:pPr>
            <w:r>
              <w:rPr>
                <w:rFonts w:hint="eastAsia" w:ascii="宋体" w:hAnsi="宋体"/>
                <w:bCs/>
                <w:iCs/>
                <w:sz w:val="24"/>
                <w:szCs w:val="24"/>
              </w:rPr>
              <w:t>□</w:t>
            </w:r>
            <w:r>
              <w:rPr>
                <w:rFonts w:hint="eastAsia" w:ascii="宋体" w:hAnsi="宋体"/>
                <w:sz w:val="24"/>
                <w:szCs w:val="24"/>
              </w:rPr>
              <w:t xml:space="preserve">媒体采访            </w:t>
            </w:r>
            <w:r>
              <w:rPr>
                <w:rFonts w:hint="eastAsia" w:ascii="宋体" w:hAnsi="宋体"/>
                <w:bCs/>
                <w:iCs/>
                <w:sz w:val="24"/>
                <w:szCs w:val="24"/>
              </w:rPr>
              <w:sym w:font="Wingdings 2" w:char="00A3"/>
            </w:r>
            <w:r>
              <w:rPr>
                <w:rFonts w:hint="eastAsia" w:ascii="宋体" w:hAnsi="宋体"/>
                <w:sz w:val="24"/>
                <w:szCs w:val="24"/>
              </w:rPr>
              <w:t>业绩说明会</w:t>
            </w:r>
          </w:p>
          <w:p w14:paraId="7EBD013F">
            <w:pPr>
              <w:spacing w:line="360" w:lineRule="auto"/>
              <w:rPr>
                <w:rFonts w:hint="eastAsia" w:ascii="宋体" w:hAnsi="宋体"/>
                <w:bCs/>
                <w:iCs/>
                <w:sz w:val="24"/>
                <w:szCs w:val="24"/>
              </w:rPr>
            </w:pPr>
            <w:r>
              <w:rPr>
                <w:rFonts w:hint="eastAsia" w:ascii="宋体" w:hAnsi="宋体"/>
                <w:bCs/>
                <w:iCs/>
                <w:sz w:val="24"/>
                <w:szCs w:val="24"/>
              </w:rPr>
              <w:t>□</w:t>
            </w:r>
            <w:r>
              <w:rPr>
                <w:rFonts w:hint="eastAsia" w:ascii="宋体" w:hAnsi="宋体"/>
                <w:sz w:val="24"/>
                <w:szCs w:val="24"/>
              </w:rPr>
              <w:t xml:space="preserve">新闻发布会          </w:t>
            </w:r>
            <w:r>
              <w:rPr>
                <w:rFonts w:hint="eastAsia" w:ascii="宋体" w:hAnsi="宋体"/>
                <w:bCs/>
                <w:iCs/>
                <w:sz w:val="24"/>
                <w:szCs w:val="24"/>
              </w:rPr>
              <w:t>□</w:t>
            </w:r>
            <w:r>
              <w:rPr>
                <w:rFonts w:hint="eastAsia" w:ascii="宋体" w:hAnsi="宋体"/>
                <w:sz w:val="24"/>
                <w:szCs w:val="24"/>
              </w:rPr>
              <w:t>路演活动</w:t>
            </w:r>
          </w:p>
          <w:p w14:paraId="51719483">
            <w:pPr>
              <w:tabs>
                <w:tab w:val="left" w:pos="3045"/>
                <w:tab w:val="center" w:pos="3199"/>
              </w:tabs>
              <w:spacing w:line="360" w:lineRule="auto"/>
              <w:rPr>
                <w:rFonts w:hint="eastAsia" w:ascii="宋体" w:hAnsi="宋体"/>
                <w:bCs/>
                <w:iCs/>
                <w:sz w:val="24"/>
                <w:szCs w:val="24"/>
              </w:rPr>
            </w:pPr>
            <w:r>
              <w:rPr>
                <w:rFonts w:hint="eastAsia" w:ascii="宋体" w:hAnsi="宋体"/>
                <w:bCs/>
                <w:iCs/>
                <w:sz w:val="24"/>
                <w:szCs w:val="24"/>
              </w:rPr>
              <w:sym w:font="Wingdings 2" w:char="F0A3"/>
            </w:r>
            <w:r>
              <w:rPr>
                <w:rFonts w:hint="eastAsia" w:ascii="宋体" w:hAnsi="宋体"/>
                <w:sz w:val="24"/>
                <w:szCs w:val="24"/>
              </w:rPr>
              <w:t>现场参观</w:t>
            </w:r>
            <w:r>
              <w:rPr>
                <w:rFonts w:ascii="宋体" w:hAnsi="宋体"/>
                <w:bCs/>
                <w:iCs/>
                <w:sz w:val="24"/>
                <w:szCs w:val="24"/>
              </w:rPr>
              <w:tab/>
            </w:r>
          </w:p>
          <w:p w14:paraId="232496E4">
            <w:pPr>
              <w:tabs>
                <w:tab w:val="center" w:pos="3199"/>
              </w:tabs>
              <w:spacing w:line="360" w:lineRule="auto"/>
              <w:rPr>
                <w:rFonts w:hint="eastAsia" w:ascii="宋体" w:hAnsi="宋体"/>
                <w:bCs/>
                <w:iCs/>
                <w:sz w:val="24"/>
                <w:szCs w:val="24"/>
              </w:rPr>
            </w:pPr>
            <w:r>
              <w:rPr>
                <w:rFonts w:hint="eastAsia" w:ascii="宋体" w:hAnsi="宋体"/>
                <w:bCs/>
                <w:iCs/>
                <w:sz w:val="24"/>
                <w:szCs w:val="24"/>
              </w:rPr>
              <w:sym w:font="Wingdings 2" w:char="00A3"/>
            </w:r>
            <w:r>
              <w:rPr>
                <w:rFonts w:hint="eastAsia" w:ascii="宋体" w:hAnsi="宋体"/>
                <w:sz w:val="24"/>
                <w:szCs w:val="24"/>
              </w:rPr>
              <w:t>其他（电话会议）</w:t>
            </w:r>
          </w:p>
        </w:tc>
      </w:tr>
      <w:tr w14:paraId="622A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72B2D1EE">
            <w:pPr>
              <w:spacing w:line="360" w:lineRule="auto"/>
              <w:jc w:val="center"/>
              <w:rPr>
                <w:rFonts w:hint="eastAsia" w:ascii="宋体" w:hAnsi="宋体"/>
                <w:b/>
                <w:bCs/>
                <w:iCs/>
                <w:sz w:val="24"/>
                <w:szCs w:val="24"/>
              </w:rPr>
            </w:pPr>
            <w:r>
              <w:rPr>
                <w:rFonts w:hint="eastAsia" w:ascii="宋体" w:hAnsi="宋体"/>
                <w:b/>
                <w:bCs/>
                <w:iCs/>
                <w:sz w:val="24"/>
                <w:szCs w:val="24"/>
              </w:rPr>
              <w:t>参与单位名称</w:t>
            </w:r>
          </w:p>
        </w:tc>
        <w:tc>
          <w:tcPr>
            <w:tcW w:w="6203" w:type="dxa"/>
          </w:tcPr>
          <w:p w14:paraId="7CE61A69">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华安证券、</w:t>
            </w:r>
            <w:r>
              <w:rPr>
                <w:rFonts w:hint="eastAsia" w:ascii="宋体" w:hAnsi="宋体" w:cs="宋体"/>
                <w:sz w:val="24"/>
                <w:szCs w:val="24"/>
              </w:rPr>
              <w:t>北京华诺投资、东方证券资产管理、兴业基金、南方基金、上海睿亿投资、海南恒立私募基金、上银基金、兴银基金、华夏创新、韶夏资本、长盛基金、和君资本、尚诚资产、享融智云、博衍基金、中欧基金、华安证券、观合资产、招商证券、翼虎投资、国信证券、瀚鑫基金、凯石基金、肇万资产、凯乘资本</w:t>
            </w:r>
          </w:p>
        </w:tc>
      </w:tr>
      <w:tr w14:paraId="63BC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A8094E6">
            <w:pPr>
              <w:spacing w:line="360" w:lineRule="auto"/>
              <w:jc w:val="center"/>
              <w:rPr>
                <w:rFonts w:hint="eastAsia" w:ascii="宋体" w:hAnsi="宋体"/>
                <w:b/>
                <w:bCs/>
                <w:iCs/>
                <w:sz w:val="24"/>
                <w:szCs w:val="24"/>
              </w:rPr>
            </w:pPr>
            <w:r>
              <w:rPr>
                <w:rFonts w:hint="eastAsia" w:ascii="宋体" w:hAnsi="宋体"/>
                <w:b/>
                <w:bCs/>
                <w:iCs/>
                <w:sz w:val="24"/>
                <w:szCs w:val="24"/>
              </w:rPr>
              <w:t>时间</w:t>
            </w:r>
          </w:p>
        </w:tc>
        <w:tc>
          <w:tcPr>
            <w:tcW w:w="6203" w:type="dxa"/>
          </w:tcPr>
          <w:p w14:paraId="326BC5A2">
            <w:pPr>
              <w:spacing w:line="360" w:lineRule="auto"/>
              <w:rPr>
                <w:rFonts w:hint="eastAsia" w:ascii="宋体" w:hAnsi="宋体" w:eastAsia="宋体"/>
                <w:bCs/>
                <w:iCs/>
                <w:sz w:val="24"/>
                <w:szCs w:val="24"/>
                <w:lang w:val="en-US" w:eastAsia="zh-CN"/>
              </w:rPr>
            </w:pPr>
            <w:r>
              <w:rPr>
                <w:rFonts w:hint="eastAsia" w:ascii="宋体" w:hAnsi="宋体"/>
                <w:bCs/>
                <w:iCs/>
                <w:sz w:val="24"/>
                <w:szCs w:val="24"/>
              </w:rPr>
              <w:t>20</w:t>
            </w:r>
            <w:r>
              <w:rPr>
                <w:rFonts w:ascii="宋体" w:hAnsi="宋体"/>
                <w:bCs/>
                <w:iCs/>
                <w:sz w:val="24"/>
                <w:szCs w:val="24"/>
              </w:rPr>
              <w:t>2</w:t>
            </w:r>
            <w:r>
              <w:rPr>
                <w:rFonts w:hint="eastAsia" w:ascii="宋体" w:hAnsi="宋体"/>
                <w:bCs/>
                <w:iCs/>
                <w:sz w:val="24"/>
                <w:szCs w:val="24"/>
                <w:lang w:val="en-US" w:eastAsia="zh-CN"/>
              </w:rPr>
              <w:t>5</w:t>
            </w:r>
            <w:r>
              <w:rPr>
                <w:rFonts w:hint="eastAsia" w:ascii="宋体" w:hAnsi="宋体"/>
                <w:bCs/>
                <w:iCs/>
                <w:sz w:val="24"/>
                <w:szCs w:val="24"/>
              </w:rPr>
              <w:t>年</w:t>
            </w:r>
            <w:r>
              <w:rPr>
                <w:rFonts w:hint="eastAsia" w:ascii="宋体" w:hAnsi="宋体"/>
                <w:bCs/>
                <w:iCs/>
                <w:sz w:val="24"/>
                <w:szCs w:val="24"/>
                <w:lang w:val="en-US" w:eastAsia="zh-CN"/>
              </w:rPr>
              <w:t>7</w:t>
            </w:r>
            <w:r>
              <w:rPr>
                <w:rFonts w:hint="eastAsia" w:ascii="宋体" w:hAnsi="宋体"/>
                <w:bCs/>
                <w:iCs/>
                <w:sz w:val="24"/>
                <w:szCs w:val="24"/>
              </w:rPr>
              <w:t>月</w:t>
            </w:r>
            <w:r>
              <w:rPr>
                <w:rFonts w:hint="eastAsia" w:ascii="宋体" w:hAnsi="宋体"/>
                <w:bCs/>
                <w:iCs/>
                <w:sz w:val="24"/>
                <w:szCs w:val="24"/>
                <w:lang w:val="en-US" w:eastAsia="zh-CN"/>
              </w:rPr>
              <w:t>8</w:t>
            </w:r>
            <w:r>
              <w:rPr>
                <w:rFonts w:hint="eastAsia" w:ascii="宋体" w:hAnsi="宋体"/>
                <w:bCs/>
                <w:iCs/>
                <w:sz w:val="24"/>
                <w:szCs w:val="24"/>
              </w:rPr>
              <w:t>日</w:t>
            </w:r>
          </w:p>
        </w:tc>
      </w:tr>
      <w:tr w14:paraId="2448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3FEB7A8D">
            <w:pPr>
              <w:spacing w:line="360" w:lineRule="auto"/>
              <w:jc w:val="center"/>
              <w:rPr>
                <w:rFonts w:hint="eastAsia" w:ascii="宋体" w:hAnsi="宋体"/>
                <w:b/>
                <w:bCs/>
                <w:iCs/>
                <w:sz w:val="24"/>
                <w:szCs w:val="24"/>
              </w:rPr>
            </w:pPr>
            <w:r>
              <w:rPr>
                <w:rFonts w:hint="eastAsia" w:ascii="宋体" w:hAnsi="宋体"/>
                <w:b/>
                <w:bCs/>
                <w:iCs/>
                <w:sz w:val="24"/>
                <w:szCs w:val="24"/>
              </w:rPr>
              <w:t>参会方式</w:t>
            </w:r>
          </w:p>
        </w:tc>
        <w:tc>
          <w:tcPr>
            <w:tcW w:w="6203" w:type="dxa"/>
          </w:tcPr>
          <w:p w14:paraId="4C5F5090">
            <w:pPr>
              <w:spacing w:line="360" w:lineRule="auto"/>
              <w:rPr>
                <w:rFonts w:hint="eastAsia" w:ascii="宋体" w:hAnsi="宋体"/>
                <w:bCs/>
                <w:iCs/>
                <w:sz w:val="24"/>
                <w:szCs w:val="24"/>
              </w:rPr>
            </w:pPr>
            <w:r>
              <w:rPr>
                <w:rFonts w:hint="eastAsia" w:ascii="宋体" w:hAnsi="宋体"/>
                <w:bCs/>
                <w:iCs/>
                <w:sz w:val="24"/>
                <w:szCs w:val="24"/>
              </w:rPr>
              <w:t>线</w:t>
            </w:r>
            <w:r>
              <w:rPr>
                <w:rFonts w:hint="eastAsia" w:ascii="宋体" w:hAnsi="宋体"/>
                <w:bCs/>
                <w:iCs/>
                <w:sz w:val="24"/>
                <w:szCs w:val="24"/>
                <w:lang w:val="en-US" w:eastAsia="zh-CN"/>
              </w:rPr>
              <w:t>上</w:t>
            </w:r>
            <w:r>
              <w:rPr>
                <w:rFonts w:hint="eastAsia" w:ascii="宋体" w:hAnsi="宋体"/>
                <w:bCs/>
                <w:iCs/>
                <w:sz w:val="24"/>
                <w:szCs w:val="24"/>
              </w:rPr>
              <w:t>会议</w:t>
            </w:r>
          </w:p>
        </w:tc>
      </w:tr>
      <w:tr w14:paraId="2200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25249036">
            <w:pPr>
              <w:spacing w:line="360" w:lineRule="auto"/>
              <w:jc w:val="center"/>
              <w:rPr>
                <w:rFonts w:hint="eastAsia" w:ascii="宋体" w:hAnsi="宋体"/>
                <w:b/>
                <w:bCs/>
                <w:iCs/>
                <w:sz w:val="24"/>
                <w:szCs w:val="24"/>
              </w:rPr>
            </w:pPr>
            <w:r>
              <w:rPr>
                <w:rFonts w:hint="eastAsia" w:ascii="宋体" w:hAnsi="宋体"/>
                <w:b/>
                <w:bCs/>
                <w:iCs/>
                <w:sz w:val="24"/>
                <w:szCs w:val="24"/>
              </w:rPr>
              <w:t>上市公司接待人员姓名</w:t>
            </w:r>
          </w:p>
        </w:tc>
        <w:tc>
          <w:tcPr>
            <w:tcW w:w="6203" w:type="dxa"/>
            <w:vAlign w:val="center"/>
          </w:tcPr>
          <w:p w14:paraId="055E4D72">
            <w:pPr>
              <w:spacing w:line="360" w:lineRule="auto"/>
              <w:rPr>
                <w:rFonts w:hint="eastAsia" w:ascii="宋体" w:hAnsi="宋体"/>
                <w:bCs/>
                <w:iCs/>
                <w:sz w:val="24"/>
                <w:szCs w:val="24"/>
                <w:lang w:val="en-US" w:eastAsia="zh-CN"/>
              </w:rPr>
            </w:pPr>
            <w:r>
              <w:rPr>
                <w:rFonts w:hint="eastAsia" w:ascii="宋体" w:hAnsi="宋体"/>
                <w:bCs/>
                <w:iCs/>
                <w:sz w:val="24"/>
                <w:szCs w:val="24"/>
                <w:lang w:val="en-US" w:eastAsia="zh-CN"/>
              </w:rPr>
              <w:t>董事长 利虔先生</w:t>
            </w:r>
          </w:p>
          <w:p w14:paraId="3428564B">
            <w:pPr>
              <w:spacing w:line="360" w:lineRule="auto"/>
              <w:rPr>
                <w:rFonts w:hint="default" w:ascii="宋体" w:hAnsi="宋体"/>
                <w:bCs/>
                <w:iCs/>
                <w:sz w:val="24"/>
                <w:szCs w:val="24"/>
                <w:lang w:val="en-US" w:eastAsia="zh-CN"/>
              </w:rPr>
            </w:pPr>
            <w:r>
              <w:rPr>
                <w:rFonts w:hint="eastAsia" w:ascii="宋体" w:hAnsi="宋体"/>
                <w:bCs/>
                <w:iCs/>
                <w:sz w:val="24"/>
                <w:szCs w:val="24"/>
                <w:lang w:val="en-US" w:eastAsia="zh-CN"/>
              </w:rPr>
              <w:t>董事、财务总监 张执交先生</w:t>
            </w:r>
          </w:p>
          <w:p w14:paraId="385DFB64">
            <w:pPr>
              <w:spacing w:line="360" w:lineRule="auto"/>
              <w:rPr>
                <w:rFonts w:hint="eastAsia" w:ascii="宋体" w:hAnsi="宋体"/>
                <w:bCs/>
                <w:iCs/>
                <w:sz w:val="24"/>
                <w:szCs w:val="24"/>
                <w:lang w:val="en-US" w:eastAsia="zh-CN"/>
              </w:rPr>
            </w:pPr>
            <w:r>
              <w:rPr>
                <w:rFonts w:hint="eastAsia" w:ascii="宋体" w:hAnsi="宋体"/>
                <w:bCs/>
                <w:iCs/>
                <w:sz w:val="24"/>
                <w:szCs w:val="24"/>
                <w:lang w:val="en-US" w:eastAsia="zh-CN"/>
              </w:rPr>
              <w:t>董事会秘书 魏丽萍女士</w:t>
            </w:r>
          </w:p>
          <w:p w14:paraId="2ED67EFA">
            <w:pPr>
              <w:spacing w:line="360" w:lineRule="auto"/>
              <w:rPr>
                <w:rFonts w:hint="default" w:ascii="宋体" w:hAnsi="宋体"/>
                <w:bCs/>
                <w:iCs/>
                <w:sz w:val="24"/>
                <w:szCs w:val="24"/>
                <w:lang w:val="en-US" w:eastAsia="zh-CN"/>
              </w:rPr>
            </w:pPr>
            <w:r>
              <w:rPr>
                <w:rFonts w:hint="eastAsia" w:ascii="宋体" w:hAnsi="宋体"/>
                <w:bCs/>
                <w:iCs/>
                <w:sz w:val="24"/>
                <w:szCs w:val="24"/>
                <w:lang w:val="en-US" w:eastAsia="zh-CN"/>
              </w:rPr>
              <w:t>IR总监 郭心驰女士</w:t>
            </w:r>
          </w:p>
        </w:tc>
      </w:tr>
      <w:tr w14:paraId="276D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0394FAC4">
            <w:pPr>
              <w:spacing w:line="360" w:lineRule="auto"/>
              <w:jc w:val="center"/>
              <w:rPr>
                <w:rFonts w:hint="eastAsia" w:ascii="宋体" w:hAnsi="宋体"/>
                <w:b/>
                <w:bCs/>
                <w:iCs/>
                <w:sz w:val="24"/>
                <w:szCs w:val="24"/>
              </w:rPr>
            </w:pPr>
            <w:r>
              <w:rPr>
                <w:rFonts w:hint="eastAsia" w:ascii="宋体" w:hAnsi="宋体"/>
                <w:b/>
                <w:bCs/>
                <w:iCs/>
                <w:sz w:val="24"/>
                <w:szCs w:val="24"/>
              </w:rPr>
              <w:t>投资者关系活动主要内容介绍</w:t>
            </w:r>
          </w:p>
        </w:tc>
        <w:tc>
          <w:tcPr>
            <w:tcW w:w="6203" w:type="dxa"/>
          </w:tcPr>
          <w:p w14:paraId="4D36C545">
            <w:pPr>
              <w:numPr>
                <w:ilvl w:val="255"/>
                <w:numId w:val="0"/>
              </w:numPr>
              <w:spacing w:before="156" w:beforeLines="50" w:line="360" w:lineRule="auto"/>
              <w:ind w:firstLine="480" w:firstLineChars="200"/>
              <w:rPr>
                <w:sz w:val="24"/>
              </w:rPr>
            </w:pPr>
            <w:r>
              <w:rPr>
                <w:rFonts w:hint="eastAsia"/>
                <w:sz w:val="24"/>
              </w:rPr>
              <w:t>一、公司介绍环节</w:t>
            </w:r>
          </w:p>
          <w:p w14:paraId="111C0B92">
            <w:pPr>
              <w:numPr>
                <w:ilvl w:val="255"/>
                <w:numId w:val="0"/>
              </w:numPr>
              <w:spacing w:before="156" w:beforeLines="50" w:line="360" w:lineRule="auto"/>
              <w:ind w:firstLine="480" w:firstLineChars="200"/>
              <w:rPr>
                <w:rFonts w:hint="eastAsia"/>
                <w:sz w:val="24"/>
              </w:rPr>
            </w:pPr>
            <w:r>
              <w:rPr>
                <w:rFonts w:hint="eastAsia"/>
                <w:sz w:val="24"/>
              </w:rPr>
              <w:t>公司是一家专业的药物临床前及临床综合研发服务 CRO，为国内医药企业和科研机构提供全方位的一站式药物研发服务，致力于协助国内医药制造企业加速实现进口替代和自主创新。服务内容主要包括药物发现、药理药效、药学研究、临床研究和生物分析。作为一家专注于药物创新研发的综合性企业，阳光诺和通过“研发服务+管线培育+新质产业链”三位一体战略，在自研创新、技术升级及全球化布局上实现多重突破，展现出从CRO“委托方”向创新驱动型“合作方”转型的强劲势能。</w:t>
            </w:r>
          </w:p>
          <w:p w14:paraId="1CA8E5F8">
            <w:pPr>
              <w:numPr>
                <w:ilvl w:val="-1"/>
                <w:numId w:val="0"/>
              </w:numPr>
              <w:spacing w:before="156" w:beforeLines="50" w:line="360" w:lineRule="auto"/>
              <w:ind w:firstLine="480" w:firstLineChars="200"/>
              <w:rPr>
                <w:rFonts w:hint="eastAsia" w:ascii="宋体" w:hAnsi="宋体"/>
                <w:b/>
                <w:iCs/>
                <w:sz w:val="24"/>
                <w:szCs w:val="24"/>
                <w:lang w:val="en-US" w:eastAsia="zh-CN"/>
              </w:rPr>
            </w:pPr>
            <w:r>
              <w:rPr>
                <w:rFonts w:hint="eastAsia"/>
                <w:sz w:val="24"/>
              </w:rPr>
              <w:t>研发创新方面，公司不断加大研发投入，截止2024年底公司研发项目累计已超430项，其中新立项自研项目达89余项。在创新药研发方面在研产品主要应用在镇痛、肾病与透析、肿瘤辅助、心脑血管、抗菌用药等适应症领域，并有多个创新药在研项目在国内无相同产品上市，竞争格局良好，极具市场价值。后续随着这些药品上市，将为公司拓展更多临床应用场景提供可能性。例如在多肽领域，公司目前已有3个适应症管线进入临床，其中STC007注射液目前具有手术后镇痛和尿毒症瘙痒两个适应症，手术后镇痛适应症已经完成二期临床试验，近期公司披露了STC007注射液治疗腹部手术后的中、重度疼痛的二期临床试验数据，根据数据结果，该临床试验达成预期目标。STC007注射液治疗尿毒症瘙痒适应症也已进入二期临床试验阶段，同时STC008注射液已进入一期临床试验阶段，其主要适应症为治疗晚期实体瘤相关的肿瘤恶液质，其他管线在临床前研究不同阶段，进展顺利。</w:t>
            </w:r>
          </w:p>
          <w:p w14:paraId="7A3CFEFA">
            <w:pPr>
              <w:numPr>
                <w:ilvl w:val="-1"/>
                <w:numId w:val="0"/>
              </w:numPr>
              <w:spacing w:before="156" w:beforeLines="50" w:line="360" w:lineRule="auto"/>
              <w:ind w:firstLine="482" w:firstLineChars="200"/>
              <w:rPr>
                <w:rFonts w:hint="eastAsia"/>
                <w:sz w:val="24"/>
                <w:lang w:val="en-US" w:eastAsia="zh-CN"/>
              </w:rPr>
            </w:pPr>
            <w:r>
              <w:rPr>
                <w:rFonts w:hint="eastAsia" w:ascii="宋体" w:hAnsi="宋体"/>
                <w:b/>
                <w:iCs/>
                <w:sz w:val="24"/>
                <w:szCs w:val="24"/>
                <w:lang w:val="en-US" w:eastAsia="zh-CN"/>
              </w:rPr>
              <w:t>二</w:t>
            </w:r>
            <w:r>
              <w:rPr>
                <w:rFonts w:hint="eastAsia" w:ascii="宋体" w:hAnsi="宋体"/>
                <w:b/>
                <w:iCs/>
                <w:sz w:val="24"/>
                <w:szCs w:val="24"/>
              </w:rPr>
              <w:t>、问答环节</w:t>
            </w:r>
          </w:p>
          <w:p w14:paraId="7C54096D">
            <w:pPr>
              <w:keepNext w:val="0"/>
              <w:keepLines w:val="0"/>
              <w:pageBreakBefore w:val="0"/>
              <w:widowControl/>
              <w:numPr>
                <w:ilvl w:val="-1"/>
                <w:numId w:val="0"/>
              </w:numPr>
              <w:kinsoku/>
              <w:wordWrap/>
              <w:overflowPunct/>
              <w:topLinePunct w:val="0"/>
              <w:autoSpaceDE/>
              <w:autoSpaceDN/>
              <w:bidi w:val="0"/>
              <w:adjustRightInd/>
              <w:snapToGrid/>
              <w:spacing w:before="156" w:beforeLines="50" w:line="360" w:lineRule="auto"/>
              <w:ind w:firstLine="482" w:firstLineChars="200"/>
              <w:textAlignment w:val="auto"/>
              <w:rPr>
                <w:rFonts w:hint="eastAsia"/>
                <w:b/>
                <w:bCs/>
                <w:sz w:val="24"/>
                <w:lang w:val="en-US" w:eastAsia="zh-CN"/>
              </w:rPr>
            </w:pPr>
            <w:r>
              <w:rPr>
                <w:rFonts w:hint="eastAsia"/>
                <w:b/>
                <w:bCs/>
                <w:sz w:val="24"/>
                <w:lang w:val="en-US" w:eastAsia="zh-CN"/>
              </w:rPr>
              <w:t>1、</w:t>
            </w:r>
            <w:r>
              <w:rPr>
                <w:rFonts w:hint="eastAsia"/>
                <w:b/>
                <w:bCs/>
                <w:sz w:val="24"/>
              </w:rPr>
              <w:t>公司新药研发平台及团队情况？</w:t>
            </w:r>
          </w:p>
          <w:p w14:paraId="697BF9EC">
            <w:pPr>
              <w:numPr>
                <w:ilvl w:val="-1"/>
                <w:numId w:val="0"/>
              </w:numPr>
              <w:spacing w:before="156" w:beforeLines="50" w:line="360" w:lineRule="auto"/>
              <w:ind w:firstLine="480" w:firstLineChars="200"/>
              <w:rPr>
                <w:rFonts w:hint="eastAsia"/>
                <w:sz w:val="24"/>
              </w:rPr>
            </w:pPr>
            <w:r>
              <w:rPr>
                <w:rFonts w:hint="eastAsia"/>
                <w:sz w:val="24"/>
                <w:lang w:val="en-US" w:eastAsia="zh-CN"/>
              </w:rPr>
              <w:t>在多肽创新药领域，</w:t>
            </w:r>
            <w:r>
              <w:rPr>
                <w:rFonts w:hint="eastAsia"/>
                <w:sz w:val="24"/>
              </w:rPr>
              <w:t>公司建设iCVETide多肽新药发现平台，借助计算辅助药物发现（CADD）技术，显著提升多肽创新药物分子的发现效率，降低筛选成本。目前，公司正携手华为云，基于盘古大模型打造AI多肽分子发现平台，运用人工智能辅助药物发现（AIDD）技术，进一步增强iCVETide平台的分子发现与优化能力。此外，公司的BiMTtide多肽偶联药物（PDC）开发平台，可实现PDC、RDC药物分子结构的优化与定制开发，全方位助力创新药物研发。</w:t>
            </w:r>
          </w:p>
          <w:p w14:paraId="145E895D">
            <w:pPr>
              <w:numPr>
                <w:ilvl w:val="-1"/>
                <w:numId w:val="0"/>
              </w:numPr>
              <w:spacing w:before="156" w:beforeLines="50" w:line="360" w:lineRule="auto"/>
              <w:ind w:firstLine="480" w:firstLineChars="200"/>
              <w:rPr>
                <w:rFonts w:hint="eastAsia"/>
                <w:sz w:val="24"/>
                <w:lang w:eastAsia="zh-CN"/>
              </w:rPr>
            </w:pPr>
            <w:r>
              <w:rPr>
                <w:rFonts w:hint="eastAsia"/>
                <w:sz w:val="24"/>
                <w:lang w:val="en-US" w:eastAsia="zh-CN"/>
              </w:rPr>
              <w:t>在缓控释改良型新药领域，</w:t>
            </w:r>
            <w:r>
              <w:rPr>
                <w:rFonts w:hint="eastAsia"/>
                <w:sz w:val="24"/>
              </w:rPr>
              <w:t>公司依托前沿技术体系与创新研发理念，构建缓控释改良型新药平台。该平台运用精准技术，调控药物释放速率与时间，大幅延长药效维持时长，显著降低患者服药频率，有力提升用药依从性。其独特之处在于，可依据各类药物特性及临床治疗需求，定制专属缓控释方案，打破传统剂型束缚。尤其在复杂口服缓控释制剂、缓释注射剂等研发难题上，提供全方位技术保障，推动改良型新药研发迈向新高度</w:t>
            </w:r>
            <w:r>
              <w:rPr>
                <w:rFonts w:hint="eastAsia"/>
                <w:sz w:val="24"/>
                <w:lang w:eastAsia="zh-CN"/>
              </w:rPr>
              <w:t>。</w:t>
            </w:r>
          </w:p>
          <w:p w14:paraId="436A91CB">
            <w:pPr>
              <w:numPr>
                <w:ilvl w:val="-1"/>
                <w:numId w:val="0"/>
              </w:numPr>
              <w:spacing w:before="156" w:beforeLines="50" w:line="360" w:lineRule="auto"/>
              <w:ind w:firstLine="480" w:firstLineChars="200"/>
              <w:rPr>
                <w:rFonts w:hint="eastAsia"/>
                <w:sz w:val="24"/>
              </w:rPr>
            </w:pPr>
            <w:r>
              <w:rPr>
                <w:rFonts w:hint="eastAsia" w:ascii="Times New Roman" w:hAnsi="Times New Roman" w:eastAsia="宋体" w:cs="Times New Roman"/>
                <w:i w:val="0"/>
                <w:iCs w:val="0"/>
                <w:caps w:val="0"/>
                <w:spacing w:val="0"/>
                <w:sz w:val="24"/>
                <w:szCs w:val="20"/>
                <w:shd w:val="clear"/>
              </w:rPr>
              <w:t>公司所处医药制造业属于</w:t>
            </w:r>
            <w:r>
              <w:rPr>
                <w:rFonts w:hint="eastAsia"/>
                <w:sz w:val="24"/>
              </w:rPr>
              <w:t>人才和</w:t>
            </w:r>
            <w:r>
              <w:rPr>
                <w:rFonts w:hint="eastAsia" w:ascii="Times New Roman" w:hAnsi="Times New Roman" w:eastAsia="宋体" w:cs="Times New Roman"/>
                <w:i w:val="0"/>
                <w:iCs w:val="0"/>
                <w:caps w:val="0"/>
                <w:spacing w:val="0"/>
                <w:sz w:val="24"/>
                <w:szCs w:val="20"/>
                <w:shd w:val="clear"/>
              </w:rPr>
              <w:t>技术密集型行业</w:t>
            </w:r>
            <w:r>
              <w:rPr>
                <w:rFonts w:hint="eastAsia" w:ascii="Times New Roman" w:hAnsi="Times New Roman" w:cs="Times New Roman"/>
                <w:i w:val="0"/>
                <w:iCs w:val="0"/>
                <w:caps w:val="0"/>
                <w:spacing w:val="0"/>
                <w:sz w:val="24"/>
                <w:szCs w:val="20"/>
                <w:shd w:val="clear"/>
                <w:lang w:eastAsia="zh-CN"/>
              </w:rPr>
              <w:t>，</w:t>
            </w:r>
            <w:r>
              <w:rPr>
                <w:rFonts w:hint="eastAsia"/>
                <w:sz w:val="24"/>
              </w:rPr>
              <w:t>拥有众多专业人才来推进研究服务工作。鉴于此，公司将持续深化与高等院校及科研机构的合作关系，以此吸引和培养更多杰出研究人员及创新型人才。诺和晟泰拥有一支由国家级人才专家、四川省级人才专家领衔的200</w:t>
            </w:r>
            <w:r>
              <w:rPr>
                <w:rFonts w:hint="eastAsia"/>
                <w:sz w:val="24"/>
                <w:lang w:val="en-US" w:eastAsia="zh-CN"/>
              </w:rPr>
              <w:t>多</w:t>
            </w:r>
            <w:r>
              <w:rPr>
                <w:rFonts w:hint="eastAsia"/>
                <w:sz w:val="24"/>
              </w:rPr>
              <w:t>人的国际化高层次科技创业团队，涵盖计算机辅助设计智能对接、药理药效、CMC研究以及注册项目管理等关键领域。团队核心成员之间配合默契，凭借多年积累的国际创新药研发与管理经验，形成了强大的专业优势互补。凭借卓越的团队实力，荣获2021年“四川省‘高层次人才计划’高层次创新创业团队”以及“成都市‘蓉漂计划’顶尖创新创业团队”称号。在核心研发团队的引领下，诺和晟泰秉持自主创新理念，深耕专业细分领域，构建了一体化的新药研发体系。团队成员职能全面覆盖创新药的早期设计与筛选、临床前评价、全球临床开发、生产管理以及药品注册等各个环节。高素质的核心研发团队为公司未来的产品布局以及本项目的顺利实施奠定了坚实的基础。</w:t>
            </w:r>
          </w:p>
          <w:p w14:paraId="09EEB3F3">
            <w:pPr>
              <w:numPr>
                <w:ilvl w:val="-1"/>
                <w:numId w:val="0"/>
              </w:numPr>
              <w:spacing w:before="156" w:beforeLines="50" w:line="360" w:lineRule="auto"/>
              <w:ind w:firstLine="480" w:firstLineChars="200"/>
              <w:rPr>
                <w:rFonts w:hint="eastAsia"/>
                <w:sz w:val="24"/>
                <w:lang w:eastAsia="zh-CN"/>
              </w:rPr>
            </w:pPr>
            <w:r>
              <w:rPr>
                <w:rFonts w:hint="eastAsia"/>
                <w:sz w:val="24"/>
              </w:rPr>
              <w:t>诺和必拓依托持续的技术创新，以创新型复杂制剂研发为发展方向，联合企业团队与江南大学生命科学与健康工程学院科学家们的技术优势，逐步建立起国内领先的改良型新药研发技术平台，重点布局肿瘤、心血管疾病等重大疾病领域。目前已建立了国内领先的长效注射剂技术平台、口服缓控释技术平台及超小尺寸(&lt;50 nm)纳米药物制剂研究技术平台，组建了一支多元化、国际化、专业化的研发团队。</w:t>
            </w:r>
          </w:p>
          <w:p w14:paraId="29CCFDDE">
            <w:pPr>
              <w:keepNext w:val="0"/>
              <w:keepLines w:val="0"/>
              <w:pageBreakBefore w:val="0"/>
              <w:widowControl/>
              <w:numPr>
                <w:ilvl w:val="-1"/>
                <w:numId w:val="0"/>
              </w:numPr>
              <w:kinsoku/>
              <w:wordWrap/>
              <w:overflowPunct/>
              <w:topLinePunct w:val="0"/>
              <w:autoSpaceDE/>
              <w:autoSpaceDN/>
              <w:bidi w:val="0"/>
              <w:adjustRightInd/>
              <w:snapToGrid/>
              <w:spacing w:before="156" w:beforeLines="50" w:line="360" w:lineRule="auto"/>
              <w:ind w:firstLine="482" w:firstLineChars="200"/>
              <w:textAlignment w:val="auto"/>
              <w:rPr>
                <w:rFonts w:hint="eastAsia"/>
                <w:b/>
                <w:iCs/>
                <w:sz w:val="24"/>
                <w:szCs w:val="24"/>
                <w:lang w:val="en-US" w:eastAsia="zh-CN"/>
              </w:rPr>
            </w:pPr>
            <w:r>
              <w:rPr>
                <w:rFonts w:hint="eastAsia"/>
                <w:b/>
                <w:iCs/>
                <w:sz w:val="24"/>
                <w:szCs w:val="24"/>
                <w:lang w:val="en-US" w:eastAsia="zh-CN"/>
              </w:rPr>
              <w:t>2、公司</w:t>
            </w:r>
            <w:r>
              <w:rPr>
                <w:rFonts w:hint="eastAsia"/>
                <w:b/>
                <w:bCs/>
                <w:sz w:val="24"/>
              </w:rPr>
              <w:t>STC</w:t>
            </w:r>
            <w:r>
              <w:rPr>
                <w:rFonts w:hint="eastAsia"/>
                <w:b/>
                <w:iCs/>
                <w:sz w:val="24"/>
                <w:szCs w:val="24"/>
                <w:lang w:val="en-US" w:eastAsia="zh-CN"/>
              </w:rPr>
              <w:t>008</w:t>
            </w:r>
            <w:r>
              <w:rPr>
                <w:rFonts w:hint="eastAsia"/>
                <w:b/>
                <w:bCs/>
                <w:sz w:val="24"/>
                <w:lang w:val="en-US" w:eastAsia="zh-CN"/>
              </w:rPr>
              <w:t>的市场潜力如何</w:t>
            </w:r>
            <w:r>
              <w:rPr>
                <w:rFonts w:hint="eastAsia"/>
                <w:b/>
                <w:iCs/>
                <w:sz w:val="24"/>
                <w:szCs w:val="24"/>
                <w:lang w:val="en-US" w:eastAsia="zh-CN"/>
              </w:rPr>
              <w:t xml:space="preserve">？ </w:t>
            </w:r>
          </w:p>
          <w:p w14:paraId="26DFA28F">
            <w:pPr>
              <w:keepNext w:val="0"/>
              <w:keepLines w:val="0"/>
              <w:pageBreakBefore w:val="0"/>
              <w:widowControl/>
              <w:numPr>
                <w:ilvl w:val="-1"/>
                <w:numId w:val="0"/>
              </w:numPr>
              <w:kinsoku/>
              <w:wordWrap/>
              <w:overflowPunct/>
              <w:topLinePunct w:val="0"/>
              <w:autoSpaceDE/>
              <w:autoSpaceDN/>
              <w:bidi w:val="0"/>
              <w:adjustRightInd/>
              <w:snapToGrid/>
              <w:spacing w:before="156" w:beforeLines="50" w:line="360" w:lineRule="auto"/>
              <w:ind w:firstLine="480" w:firstLineChars="200"/>
              <w:textAlignment w:val="auto"/>
              <w:rPr>
                <w:rFonts w:hint="default"/>
                <w:b w:val="0"/>
                <w:bCs w:val="0"/>
                <w:iCs/>
                <w:sz w:val="24"/>
                <w:szCs w:val="24"/>
                <w:lang w:val="en-US" w:eastAsia="zh-CN"/>
              </w:rPr>
            </w:pPr>
            <w:r>
              <w:rPr>
                <w:rFonts w:hint="eastAsia"/>
                <w:b w:val="0"/>
                <w:bCs w:val="0"/>
                <w:sz w:val="24"/>
              </w:rPr>
              <w:t>STC</w:t>
            </w:r>
            <w:r>
              <w:rPr>
                <w:rFonts w:hint="eastAsia"/>
                <w:b w:val="0"/>
                <w:iCs w:val="0"/>
                <w:sz w:val="24"/>
                <w:szCs w:val="20"/>
                <w:lang w:val="en-US" w:eastAsia="zh-CN"/>
              </w:rPr>
              <w:t>008注射液</w:t>
            </w:r>
            <w:r>
              <w:rPr>
                <w:rFonts w:hint="eastAsia"/>
                <w:sz w:val="24"/>
              </w:rPr>
              <w:t>是一种选择性 GHSR-1a 激动剂</w:t>
            </w:r>
            <w:r>
              <w:rPr>
                <w:rFonts w:hint="eastAsia"/>
                <w:sz w:val="24"/>
                <w:lang w:eastAsia="zh-CN"/>
              </w:rPr>
              <w:t>，</w:t>
            </w:r>
            <w:r>
              <w:rPr>
                <w:rFonts w:hint="eastAsia"/>
                <w:sz w:val="24"/>
                <w:lang w:val="en-US" w:eastAsia="zh-CN"/>
              </w:rPr>
              <w:t>适应症是晚期实体瘤的</w:t>
            </w:r>
            <w:r>
              <w:rPr>
                <w:rFonts w:hint="default"/>
                <w:sz w:val="24"/>
              </w:rPr>
              <w:t>肿瘤恶液质</w:t>
            </w:r>
            <w:r>
              <w:rPr>
                <w:rFonts w:hint="eastAsia"/>
                <w:sz w:val="24"/>
                <w:lang w:eastAsia="zh-CN"/>
              </w:rPr>
              <w:t>，</w:t>
            </w:r>
            <w:r>
              <w:rPr>
                <w:rFonts w:hint="eastAsia"/>
                <w:sz w:val="24"/>
              </w:rPr>
              <w:t>肿瘤恶液质恶病（体）质（cancerca</w:t>
            </w:r>
            <w:r>
              <w:rPr>
                <w:rFonts w:hint="eastAsia"/>
                <w:sz w:val="24"/>
                <w:lang w:val="en-US" w:eastAsia="zh-CN"/>
              </w:rPr>
              <w:t>-</w:t>
            </w:r>
            <w:r>
              <w:rPr>
                <w:rFonts w:hint="eastAsia"/>
                <w:sz w:val="24"/>
              </w:rPr>
              <w:t>chexia）是各种晚期恶性肿瘤的常见并发症，进展期恶性肿瘤约60%～80%可出现恶液质，约20%肿瘤患者死于恶液质。据vantage预测2023年全球肿瘤恶病质潜在市场规模达26亿美元，至2032年将达40亿美元，CAGR为5%。目前FDA尚未批准任何药物用于肿瘤恶液质的治疗，该靶点国内癌症恶病质治疗领域尚为空白，此项目顺利推进有望实现国内该领域零的突破。与国外唯一上市药物阿拉莫林（目前未在中国上市）相比，</w:t>
            </w:r>
            <w:r>
              <w:rPr>
                <w:rFonts w:hint="eastAsia"/>
                <w:b w:val="0"/>
                <w:bCs w:val="0"/>
                <w:sz w:val="24"/>
              </w:rPr>
              <w:t>STC</w:t>
            </w:r>
            <w:r>
              <w:rPr>
                <w:rFonts w:hint="eastAsia"/>
                <w:b w:val="0"/>
                <w:iCs w:val="0"/>
                <w:sz w:val="24"/>
                <w:szCs w:val="20"/>
                <w:lang w:val="en-US" w:eastAsia="zh-CN"/>
              </w:rPr>
              <w:t>008注射液</w:t>
            </w:r>
            <w:r>
              <w:rPr>
                <w:rFonts w:hint="eastAsia"/>
                <w:sz w:val="24"/>
              </w:rPr>
              <w:t>对CYP酶无抑制和诱导作用，与抗肿瘤药物联用时，安全性大大增加，且生物利用度明显优于对照药物</w:t>
            </w:r>
            <w:r>
              <w:rPr>
                <w:rFonts w:hint="eastAsia"/>
                <w:sz w:val="24"/>
                <w:lang w:eastAsia="zh-CN"/>
              </w:rPr>
              <w:t>，</w:t>
            </w:r>
            <w:r>
              <w:rPr>
                <w:rFonts w:hint="default"/>
                <w:sz w:val="24"/>
              </w:rPr>
              <w:t>市场</w:t>
            </w:r>
            <w:r>
              <w:rPr>
                <w:rFonts w:hint="eastAsia"/>
                <w:sz w:val="24"/>
                <w:lang w:val="en-US" w:eastAsia="zh-CN"/>
              </w:rPr>
              <w:t>潜力</w:t>
            </w:r>
            <w:r>
              <w:rPr>
                <w:rFonts w:hint="default"/>
                <w:sz w:val="24"/>
              </w:rPr>
              <w:t>巨大</w:t>
            </w:r>
            <w:r>
              <w:rPr>
                <w:rFonts w:hint="eastAsia"/>
                <w:sz w:val="24"/>
              </w:rPr>
              <w:t>。</w:t>
            </w:r>
          </w:p>
          <w:p w14:paraId="3C39B688">
            <w:pPr>
              <w:keepNext w:val="0"/>
              <w:keepLines w:val="0"/>
              <w:pageBreakBefore w:val="0"/>
              <w:widowControl/>
              <w:numPr>
                <w:ilvl w:val="-1"/>
                <w:numId w:val="0"/>
              </w:numPr>
              <w:kinsoku/>
              <w:wordWrap/>
              <w:overflowPunct/>
              <w:topLinePunct w:val="0"/>
              <w:autoSpaceDE/>
              <w:autoSpaceDN/>
              <w:bidi w:val="0"/>
              <w:adjustRightInd/>
              <w:snapToGrid/>
              <w:spacing w:before="156" w:beforeLines="50" w:line="360" w:lineRule="auto"/>
              <w:ind w:firstLine="482" w:firstLineChars="200"/>
              <w:textAlignment w:val="auto"/>
              <w:rPr>
                <w:rFonts w:hint="default"/>
                <w:b/>
                <w:bCs/>
                <w:sz w:val="24"/>
                <w:lang w:val="en-US" w:eastAsia="zh-CN"/>
              </w:rPr>
            </w:pPr>
            <w:r>
              <w:rPr>
                <w:rFonts w:hint="eastAsia"/>
                <w:b/>
                <w:iCs/>
                <w:sz w:val="24"/>
                <w:szCs w:val="24"/>
                <w:lang w:val="en-US" w:eastAsia="zh-CN"/>
              </w:rPr>
              <w:t>3、</w:t>
            </w:r>
            <w:r>
              <w:rPr>
                <w:rFonts w:hint="eastAsia"/>
                <w:b/>
                <w:iCs/>
                <w:sz w:val="24"/>
                <w:szCs w:val="24"/>
              </w:rPr>
              <w:t>公司在特殊制剂例如贴剂方面的优势？</w:t>
            </w:r>
          </w:p>
          <w:p w14:paraId="46A85596">
            <w:pPr>
              <w:numPr>
                <w:ilvl w:val="-1"/>
                <w:numId w:val="0"/>
              </w:numPr>
              <w:spacing w:before="156" w:beforeLines="50" w:line="360" w:lineRule="auto"/>
              <w:ind w:firstLine="480" w:firstLineChars="200"/>
              <w:rPr>
                <w:rFonts w:hint="eastAsia"/>
                <w:sz w:val="24"/>
              </w:rPr>
            </w:pPr>
            <w:r>
              <w:rPr>
                <w:rFonts w:hint="eastAsia"/>
                <w:sz w:val="24"/>
              </w:rPr>
              <w:t>在经皮递送（贴剂）研发平台方面，子公司诺和恒光在凝胶贴膏、热熔贴剂和透皮贴研发上经验丰富，公司已成功验证多个产品工艺，如洛索洛芬钠凝胶贴膏、氟比洛芬凝胶贴膏等，并处于上市申报阶段。通过与日本 KANEKA 公司合作，引进先进透皮贴剂技术，在研项目覆盖阿尔茨海默病、精神分裂、哮喘等多个领域。这不仅丰富了公司的产品管线，为患者提供更多给药选择，还能拓展公司在高端制剂市场的业务范围，提升公司产品的附加值与市场竞争力，为公司带来新的盈利增长点，推动公司持续稳定发展。</w:t>
            </w:r>
          </w:p>
          <w:p w14:paraId="7E940424">
            <w:pPr>
              <w:keepNext w:val="0"/>
              <w:keepLines w:val="0"/>
              <w:pageBreakBefore w:val="0"/>
              <w:widowControl/>
              <w:numPr>
                <w:ilvl w:val="-1"/>
                <w:numId w:val="0"/>
              </w:numPr>
              <w:kinsoku/>
              <w:wordWrap/>
              <w:overflowPunct/>
              <w:topLinePunct w:val="0"/>
              <w:autoSpaceDE/>
              <w:autoSpaceDN/>
              <w:bidi w:val="0"/>
              <w:adjustRightInd/>
              <w:snapToGrid/>
              <w:spacing w:before="156" w:beforeLines="50" w:line="360" w:lineRule="auto"/>
              <w:ind w:firstLine="480" w:firstLineChars="200"/>
              <w:textAlignment w:val="auto"/>
              <w:rPr>
                <w:rFonts w:hint="default"/>
                <w:b w:val="0"/>
                <w:bCs/>
                <w:iCs/>
                <w:sz w:val="24"/>
                <w:szCs w:val="24"/>
                <w:lang w:val="en-US" w:eastAsia="zh-CN"/>
              </w:rPr>
            </w:pPr>
            <w:r>
              <w:rPr>
                <w:rFonts w:hint="eastAsia"/>
                <w:sz w:val="24"/>
              </w:rPr>
              <w:t>同时，公司在长效微球制剂、缓控释制剂、多肽制剂、儿童用药、罕见病用药等其他特殊制剂方面也具有丰富的开发经验。以长效微球制剂为例，子公司诺和必拓建立了缓释微球技术平台，聚焦注射用缓释微球，实现 7 日甚至数月用药 1 次，减少给药频次，提高患者依从性及药物疗效。本项目技术能够解决现有技术缺陷，改变微球 pH 环境，解决了国内已有技术中药物泄漏问题</w:t>
            </w:r>
            <w:bookmarkStart w:id="0" w:name="_GoBack"/>
            <w:bookmarkEnd w:id="0"/>
            <w:r>
              <w:rPr>
                <w:rFonts w:hint="eastAsia"/>
                <w:sz w:val="24"/>
              </w:rPr>
              <w:t>。注射用缓释微球的市场技术壁垒高，药学研究复杂、生产线定制化且受专利保护，难以被仿制，市场竞争优势明显。以公司重点在研品种BTS0327为例，该产品基于注射用缓释微球技术开发，通过将药物精准包裹于微球载体，实现药物在体内的缓慢、持续释放，显著延长药物作用时间，提升药物疗效与安全性。</w:t>
            </w:r>
          </w:p>
          <w:p w14:paraId="35C0B89E">
            <w:pPr>
              <w:keepNext w:val="0"/>
              <w:keepLines w:val="0"/>
              <w:pageBreakBefore w:val="0"/>
              <w:widowControl/>
              <w:numPr>
                <w:ilvl w:val="-1"/>
                <w:numId w:val="0"/>
              </w:numPr>
              <w:kinsoku/>
              <w:wordWrap/>
              <w:overflowPunct/>
              <w:topLinePunct w:val="0"/>
              <w:autoSpaceDE/>
              <w:autoSpaceDN/>
              <w:bidi w:val="0"/>
              <w:adjustRightInd/>
              <w:snapToGrid/>
              <w:spacing w:before="156" w:beforeLines="50" w:line="360" w:lineRule="auto"/>
              <w:ind w:firstLine="482" w:firstLineChars="200"/>
              <w:textAlignment w:val="auto"/>
              <w:rPr>
                <w:rFonts w:hint="eastAsia"/>
                <w:b/>
                <w:bCs w:val="0"/>
                <w:sz w:val="24"/>
                <w:lang w:val="en-US" w:eastAsia="zh-CN"/>
              </w:rPr>
            </w:pPr>
            <w:r>
              <w:rPr>
                <w:rFonts w:hint="eastAsia"/>
                <w:b/>
                <w:bCs w:val="0"/>
                <w:iCs/>
                <w:sz w:val="24"/>
                <w:szCs w:val="24"/>
                <w:lang w:val="en-US" w:eastAsia="zh-CN"/>
              </w:rPr>
              <w:t>4、</w:t>
            </w:r>
            <w:r>
              <w:rPr>
                <w:rFonts w:hint="eastAsia"/>
                <w:b/>
                <w:iCs/>
                <w:sz w:val="24"/>
                <w:szCs w:val="24"/>
              </w:rPr>
              <w:t>公司在创新药自主研发方面的最新进展？</w:t>
            </w:r>
          </w:p>
          <w:p w14:paraId="3DFBC159">
            <w:pPr>
              <w:numPr>
                <w:ilvl w:val="-1"/>
                <w:numId w:val="0"/>
              </w:numPr>
              <w:spacing w:before="156" w:beforeLines="50" w:line="360" w:lineRule="auto"/>
              <w:ind w:firstLine="480" w:firstLineChars="200"/>
              <w:rPr>
                <w:rFonts w:hint="eastAsia"/>
                <w:sz w:val="24"/>
              </w:rPr>
            </w:pPr>
            <w:r>
              <w:rPr>
                <w:rFonts w:hint="eastAsia"/>
                <w:sz w:val="24"/>
              </w:rPr>
              <w:t>截止目前，在1.1类创新药方面，我们已经有3个品种4个适应症处于临床研究阶段，分别是STC007的两个适应症，其一术后镇痛已经完成临床二期并即将开启三期临床试验，其二尿毒症瘙痒目前处于临床二期研发阶段。另外STC008是一款适用于肿瘤恶病质的多肽注射液目前处于临床一期研发阶段。同时与艺妙神州合作的用于系统性红斑狼疮的CAR-T药物ZM001目前处于临床一期。此外，我们还有多款多肽、核药、小核酸等药物在临床前开发中。</w:t>
            </w:r>
          </w:p>
          <w:p w14:paraId="7F6A951C">
            <w:pPr>
              <w:numPr>
                <w:ilvl w:val="-1"/>
                <w:numId w:val="0"/>
              </w:numPr>
              <w:spacing w:before="156" w:beforeLines="50" w:line="360" w:lineRule="auto"/>
              <w:ind w:firstLine="480" w:firstLineChars="200"/>
              <w:rPr>
                <w:rFonts w:hint="default" w:eastAsia="宋体"/>
                <w:bCs/>
                <w:sz w:val="24"/>
                <w:lang w:val="en-US" w:eastAsia="zh-CN"/>
              </w:rPr>
            </w:pPr>
            <w:r>
              <w:rPr>
                <w:rFonts w:hint="eastAsia"/>
                <w:sz w:val="24"/>
              </w:rPr>
              <w:t>5月底我们披露了STC007在治疗腹部手术后的中、重度疼痛的II期临床试验数据，试验结果表明，与安慰剂组相比，STC007注射液能够有效改善腹部术后疼痛中度至重度受试者的术后0-24小时的静息和运动状态下的疼痛评分，减少挽救治疗药物使用量，镇痛效果与阳性对照药盐酸曲马多注射液相当。STC007注射液总体的安全性和耐受性良好，未发现新的安全性信号、未发生严重不良事件，总的不良事件发生率和严重程度低于阳性对照药和安慰剂，常见的恶心、呕吐等不良事件发生率在相同作用机制的药物中处于较低水平。近期我们也公告了与乐旷惠霖就共同开发STC007（镇痛适应症）达成合作协议，合同里程碑付款累计总金额为2亿元（含税）。基于合作方具有丰富的销售经验，我们看好未来STC007上市后的商业化开发。</w:t>
            </w:r>
          </w:p>
        </w:tc>
      </w:tr>
      <w:tr w14:paraId="4A63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093" w:type="dxa"/>
            <w:vAlign w:val="center"/>
          </w:tcPr>
          <w:p w14:paraId="49E359F1">
            <w:pPr>
              <w:spacing w:line="360" w:lineRule="auto"/>
              <w:jc w:val="left"/>
              <w:rPr>
                <w:rFonts w:hint="eastAsia" w:ascii="宋体" w:hAnsi="宋体"/>
                <w:b/>
                <w:bCs/>
                <w:iCs/>
                <w:sz w:val="24"/>
                <w:szCs w:val="24"/>
              </w:rPr>
            </w:pPr>
            <w:r>
              <w:rPr>
                <w:rFonts w:hint="eastAsia" w:ascii="宋体" w:hAnsi="宋体"/>
                <w:b/>
                <w:bCs/>
                <w:iCs/>
                <w:sz w:val="24"/>
                <w:szCs w:val="24"/>
              </w:rPr>
              <w:t>附件清单（如有）</w:t>
            </w:r>
          </w:p>
        </w:tc>
        <w:tc>
          <w:tcPr>
            <w:tcW w:w="6203" w:type="dxa"/>
          </w:tcPr>
          <w:p w14:paraId="41A52917">
            <w:pPr>
              <w:spacing w:line="360" w:lineRule="auto"/>
              <w:rPr>
                <w:rFonts w:hint="eastAsia" w:ascii="宋体" w:hAnsi="宋体" w:cs="宋体"/>
                <w:sz w:val="24"/>
                <w:szCs w:val="24"/>
              </w:rPr>
            </w:pPr>
            <w:r>
              <w:rPr>
                <w:rFonts w:hint="eastAsia" w:ascii="宋体" w:hAnsi="宋体"/>
                <w:bCs/>
                <w:iCs/>
                <w:sz w:val="24"/>
                <w:szCs w:val="24"/>
              </w:rPr>
              <w:t>无</w:t>
            </w:r>
          </w:p>
        </w:tc>
      </w:tr>
      <w:tr w14:paraId="5D6C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717A6FD2">
            <w:pPr>
              <w:spacing w:line="360" w:lineRule="auto"/>
              <w:jc w:val="left"/>
              <w:rPr>
                <w:rFonts w:hint="eastAsia" w:ascii="宋体" w:hAnsi="宋体"/>
                <w:b/>
                <w:bCs/>
                <w:iCs/>
                <w:sz w:val="24"/>
                <w:szCs w:val="24"/>
              </w:rPr>
            </w:pPr>
            <w:r>
              <w:rPr>
                <w:rFonts w:hint="eastAsia" w:ascii="宋体" w:hAnsi="宋体"/>
                <w:b/>
                <w:bCs/>
                <w:iCs/>
                <w:sz w:val="24"/>
                <w:szCs w:val="24"/>
              </w:rPr>
              <w:t>日期</w:t>
            </w:r>
          </w:p>
        </w:tc>
        <w:tc>
          <w:tcPr>
            <w:tcW w:w="6203" w:type="dxa"/>
          </w:tcPr>
          <w:p w14:paraId="1087953D">
            <w:pPr>
              <w:spacing w:line="360" w:lineRule="auto"/>
              <w:rPr>
                <w:rFonts w:hint="eastAsia" w:ascii="宋体" w:hAnsi="宋体"/>
                <w:bCs/>
                <w:iCs/>
                <w:sz w:val="24"/>
                <w:szCs w:val="24"/>
              </w:rPr>
            </w:pPr>
            <w:r>
              <w:rPr>
                <w:rFonts w:hint="default" w:ascii="Times New Roman" w:hAnsi="Times New Roman"/>
                <w:bCs/>
                <w:iCs/>
                <w:sz w:val="24"/>
                <w:szCs w:val="24"/>
              </w:rPr>
              <w:t>20</w:t>
            </w:r>
            <w:r>
              <w:rPr>
                <w:rFonts w:ascii="Times New Roman" w:hAnsi="Times New Roman"/>
                <w:bCs/>
                <w:iCs/>
                <w:sz w:val="24"/>
                <w:szCs w:val="24"/>
              </w:rPr>
              <w:t>2</w:t>
            </w:r>
            <w:r>
              <w:rPr>
                <w:rFonts w:hint="eastAsia"/>
                <w:bCs/>
                <w:iCs/>
                <w:sz w:val="24"/>
                <w:szCs w:val="24"/>
                <w:lang w:val="en-US" w:eastAsia="zh-CN"/>
              </w:rPr>
              <w:t>5</w:t>
            </w:r>
            <w:r>
              <w:rPr>
                <w:rFonts w:hint="default" w:ascii="Times New Roman" w:hAnsi="Times New Roman"/>
                <w:bCs/>
                <w:iCs/>
                <w:sz w:val="24"/>
                <w:szCs w:val="24"/>
              </w:rPr>
              <w:t>年</w:t>
            </w:r>
            <w:r>
              <w:rPr>
                <w:rFonts w:hint="eastAsia"/>
                <w:bCs/>
                <w:iCs/>
                <w:sz w:val="24"/>
                <w:szCs w:val="24"/>
                <w:lang w:val="en-US" w:eastAsia="zh-CN"/>
              </w:rPr>
              <w:t>7</w:t>
            </w:r>
            <w:r>
              <w:rPr>
                <w:rFonts w:hint="default" w:ascii="Times New Roman" w:hAnsi="Times New Roman"/>
                <w:bCs/>
                <w:iCs/>
                <w:sz w:val="24"/>
                <w:szCs w:val="24"/>
              </w:rPr>
              <w:t>月</w:t>
            </w:r>
            <w:r>
              <w:rPr>
                <w:rFonts w:hint="eastAsia"/>
                <w:bCs/>
                <w:iCs/>
                <w:sz w:val="24"/>
                <w:szCs w:val="24"/>
                <w:lang w:val="en-US" w:eastAsia="zh-CN"/>
              </w:rPr>
              <w:t>8</w:t>
            </w:r>
            <w:r>
              <w:rPr>
                <w:rFonts w:hint="default" w:ascii="Times New Roman" w:hAnsi="Times New Roman"/>
                <w:bCs/>
                <w:iCs/>
                <w:sz w:val="24"/>
                <w:szCs w:val="24"/>
              </w:rPr>
              <w:t>日</w:t>
            </w:r>
          </w:p>
        </w:tc>
      </w:tr>
    </w:tbl>
    <w:p w14:paraId="3B62B9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2MTRlOTE5NzU3Y2FhZmJjMTA4ODAwNjMyZWVhZDcifQ=="/>
  </w:docVars>
  <w:rsids>
    <w:rsidRoot w:val="52FF551A"/>
    <w:rsid w:val="007C7638"/>
    <w:rsid w:val="00A06CDD"/>
    <w:rsid w:val="00BB2E0E"/>
    <w:rsid w:val="00BF064F"/>
    <w:rsid w:val="00E31C19"/>
    <w:rsid w:val="01AC06BF"/>
    <w:rsid w:val="01CC4519"/>
    <w:rsid w:val="02290130"/>
    <w:rsid w:val="0244511A"/>
    <w:rsid w:val="025F5A5E"/>
    <w:rsid w:val="026811C2"/>
    <w:rsid w:val="02BD318C"/>
    <w:rsid w:val="02DB7D7F"/>
    <w:rsid w:val="039A53E7"/>
    <w:rsid w:val="03D87218"/>
    <w:rsid w:val="042E4E66"/>
    <w:rsid w:val="051E3483"/>
    <w:rsid w:val="05537D54"/>
    <w:rsid w:val="05A32FB5"/>
    <w:rsid w:val="05BF4B6E"/>
    <w:rsid w:val="05F444DC"/>
    <w:rsid w:val="077953F5"/>
    <w:rsid w:val="07A52A97"/>
    <w:rsid w:val="08446DEB"/>
    <w:rsid w:val="09FE6266"/>
    <w:rsid w:val="0A414CDC"/>
    <w:rsid w:val="0A6D3DFC"/>
    <w:rsid w:val="0B5E16A9"/>
    <w:rsid w:val="0C1F7BAB"/>
    <w:rsid w:val="0C612D69"/>
    <w:rsid w:val="0CC92960"/>
    <w:rsid w:val="0CF81829"/>
    <w:rsid w:val="0D174ABA"/>
    <w:rsid w:val="0DBE3551"/>
    <w:rsid w:val="0DCC4700"/>
    <w:rsid w:val="0E086001"/>
    <w:rsid w:val="0EB77202"/>
    <w:rsid w:val="0F824FAF"/>
    <w:rsid w:val="0FE77118"/>
    <w:rsid w:val="11866453"/>
    <w:rsid w:val="11FF5668"/>
    <w:rsid w:val="122E5DAC"/>
    <w:rsid w:val="12527029"/>
    <w:rsid w:val="12B62932"/>
    <w:rsid w:val="12DB5893"/>
    <w:rsid w:val="134A000D"/>
    <w:rsid w:val="13CF5910"/>
    <w:rsid w:val="14451A14"/>
    <w:rsid w:val="144F54F1"/>
    <w:rsid w:val="14EC5248"/>
    <w:rsid w:val="14ED4281"/>
    <w:rsid w:val="15930D03"/>
    <w:rsid w:val="15AA2CEE"/>
    <w:rsid w:val="15B14D16"/>
    <w:rsid w:val="16761466"/>
    <w:rsid w:val="16DA51E9"/>
    <w:rsid w:val="17345A11"/>
    <w:rsid w:val="17376E6B"/>
    <w:rsid w:val="17FB3086"/>
    <w:rsid w:val="1839393F"/>
    <w:rsid w:val="190E77ED"/>
    <w:rsid w:val="1A0F1E47"/>
    <w:rsid w:val="1A2C70A7"/>
    <w:rsid w:val="1A547590"/>
    <w:rsid w:val="1AC9279C"/>
    <w:rsid w:val="1B2D550F"/>
    <w:rsid w:val="1C51DC73"/>
    <w:rsid w:val="1C524E00"/>
    <w:rsid w:val="1D0C17E5"/>
    <w:rsid w:val="1D74016F"/>
    <w:rsid w:val="1E121C15"/>
    <w:rsid w:val="1EBC241A"/>
    <w:rsid w:val="1F7312F5"/>
    <w:rsid w:val="1F792F8D"/>
    <w:rsid w:val="1F983F69"/>
    <w:rsid w:val="1FAE3E0B"/>
    <w:rsid w:val="20BE1BE1"/>
    <w:rsid w:val="210274BB"/>
    <w:rsid w:val="216347EC"/>
    <w:rsid w:val="22A01C5E"/>
    <w:rsid w:val="22F83CD2"/>
    <w:rsid w:val="2362320E"/>
    <w:rsid w:val="23910C76"/>
    <w:rsid w:val="23D01B44"/>
    <w:rsid w:val="23D06D2E"/>
    <w:rsid w:val="23EB5621"/>
    <w:rsid w:val="241427AF"/>
    <w:rsid w:val="249D14E3"/>
    <w:rsid w:val="24BB0950"/>
    <w:rsid w:val="24CB30E7"/>
    <w:rsid w:val="256D51A0"/>
    <w:rsid w:val="25821C24"/>
    <w:rsid w:val="26A5400D"/>
    <w:rsid w:val="26D51ECB"/>
    <w:rsid w:val="271625E5"/>
    <w:rsid w:val="273725B6"/>
    <w:rsid w:val="27452AA5"/>
    <w:rsid w:val="29093405"/>
    <w:rsid w:val="29706363"/>
    <w:rsid w:val="29DE4401"/>
    <w:rsid w:val="2AC65169"/>
    <w:rsid w:val="2AD401BA"/>
    <w:rsid w:val="2B061EFA"/>
    <w:rsid w:val="2B9F7FE4"/>
    <w:rsid w:val="2C535356"/>
    <w:rsid w:val="2CA85D23"/>
    <w:rsid w:val="2CB67043"/>
    <w:rsid w:val="2CE05AC2"/>
    <w:rsid w:val="2D631540"/>
    <w:rsid w:val="2DCD4D3B"/>
    <w:rsid w:val="2E6F33D5"/>
    <w:rsid w:val="2EA00B62"/>
    <w:rsid w:val="2EA9018A"/>
    <w:rsid w:val="2EDE674F"/>
    <w:rsid w:val="2F4F0EF9"/>
    <w:rsid w:val="2FA368BA"/>
    <w:rsid w:val="2FFA9855"/>
    <w:rsid w:val="303D276E"/>
    <w:rsid w:val="308E0410"/>
    <w:rsid w:val="30A2064A"/>
    <w:rsid w:val="31060FA7"/>
    <w:rsid w:val="31093612"/>
    <w:rsid w:val="31BF300D"/>
    <w:rsid w:val="32A42B73"/>
    <w:rsid w:val="32D27F68"/>
    <w:rsid w:val="33231F8D"/>
    <w:rsid w:val="33260499"/>
    <w:rsid w:val="332F655B"/>
    <w:rsid w:val="33687BF4"/>
    <w:rsid w:val="337942D4"/>
    <w:rsid w:val="34D130CE"/>
    <w:rsid w:val="34E872B4"/>
    <w:rsid w:val="350D634B"/>
    <w:rsid w:val="359E7CBD"/>
    <w:rsid w:val="35B161E7"/>
    <w:rsid w:val="36952F4E"/>
    <w:rsid w:val="36B70E22"/>
    <w:rsid w:val="36D92FB2"/>
    <w:rsid w:val="37467413"/>
    <w:rsid w:val="37787510"/>
    <w:rsid w:val="381776BB"/>
    <w:rsid w:val="387520F0"/>
    <w:rsid w:val="39D2147A"/>
    <w:rsid w:val="3A8D04C3"/>
    <w:rsid w:val="3A9F5F2A"/>
    <w:rsid w:val="3B237CC2"/>
    <w:rsid w:val="3B3C7B22"/>
    <w:rsid w:val="3B7403CD"/>
    <w:rsid w:val="3B91445B"/>
    <w:rsid w:val="3C1E2FE5"/>
    <w:rsid w:val="3D3C6638"/>
    <w:rsid w:val="3D437946"/>
    <w:rsid w:val="3D81311B"/>
    <w:rsid w:val="3DFE4CB6"/>
    <w:rsid w:val="3E0B24F7"/>
    <w:rsid w:val="3E5C41A0"/>
    <w:rsid w:val="3EA2315F"/>
    <w:rsid w:val="3F135AFA"/>
    <w:rsid w:val="4224131E"/>
    <w:rsid w:val="422D34A0"/>
    <w:rsid w:val="441B0C05"/>
    <w:rsid w:val="459C63BF"/>
    <w:rsid w:val="45A55001"/>
    <w:rsid w:val="45E072A7"/>
    <w:rsid w:val="462A01A0"/>
    <w:rsid w:val="46333934"/>
    <w:rsid w:val="46A169FF"/>
    <w:rsid w:val="46DF08FB"/>
    <w:rsid w:val="46F34D6A"/>
    <w:rsid w:val="480B4BB5"/>
    <w:rsid w:val="487D4171"/>
    <w:rsid w:val="488851C9"/>
    <w:rsid w:val="489D1235"/>
    <w:rsid w:val="48E21AEF"/>
    <w:rsid w:val="4A717AA0"/>
    <w:rsid w:val="4A830B91"/>
    <w:rsid w:val="4AAF5236"/>
    <w:rsid w:val="4AB212D8"/>
    <w:rsid w:val="4B1A52D2"/>
    <w:rsid w:val="4B265D22"/>
    <w:rsid w:val="4B35552C"/>
    <w:rsid w:val="4BB85758"/>
    <w:rsid w:val="4C014C57"/>
    <w:rsid w:val="4C020555"/>
    <w:rsid w:val="4C1E0FC8"/>
    <w:rsid w:val="4C556F25"/>
    <w:rsid w:val="4C84793E"/>
    <w:rsid w:val="4CCB4083"/>
    <w:rsid w:val="4D0E2637"/>
    <w:rsid w:val="4D6024B5"/>
    <w:rsid w:val="4D6378A0"/>
    <w:rsid w:val="4D9C101F"/>
    <w:rsid w:val="4DF658A7"/>
    <w:rsid w:val="4EDF2A9B"/>
    <w:rsid w:val="4EF8205F"/>
    <w:rsid w:val="4F444544"/>
    <w:rsid w:val="4FE37D9E"/>
    <w:rsid w:val="50410483"/>
    <w:rsid w:val="509818E5"/>
    <w:rsid w:val="51547108"/>
    <w:rsid w:val="51EF5E19"/>
    <w:rsid w:val="527A22D9"/>
    <w:rsid w:val="5289164F"/>
    <w:rsid w:val="52FF551A"/>
    <w:rsid w:val="53672784"/>
    <w:rsid w:val="539E26C0"/>
    <w:rsid w:val="53A91257"/>
    <w:rsid w:val="53F3326E"/>
    <w:rsid w:val="549878D9"/>
    <w:rsid w:val="54A06C67"/>
    <w:rsid w:val="54CC1D57"/>
    <w:rsid w:val="54EB364E"/>
    <w:rsid w:val="55CA28F1"/>
    <w:rsid w:val="55D26B9E"/>
    <w:rsid w:val="561D32CE"/>
    <w:rsid w:val="56AC67D2"/>
    <w:rsid w:val="5718013A"/>
    <w:rsid w:val="573622C3"/>
    <w:rsid w:val="576D5BCE"/>
    <w:rsid w:val="57A634A8"/>
    <w:rsid w:val="584159EA"/>
    <w:rsid w:val="58836DC8"/>
    <w:rsid w:val="58BA5B76"/>
    <w:rsid w:val="599C16F8"/>
    <w:rsid w:val="5A2A67F5"/>
    <w:rsid w:val="5A4F27F0"/>
    <w:rsid w:val="5A880128"/>
    <w:rsid w:val="5AAE4583"/>
    <w:rsid w:val="5B1D47FA"/>
    <w:rsid w:val="5B205964"/>
    <w:rsid w:val="5D012421"/>
    <w:rsid w:val="5D674700"/>
    <w:rsid w:val="5DD427BF"/>
    <w:rsid w:val="5DDC2CA3"/>
    <w:rsid w:val="5DEC4365"/>
    <w:rsid w:val="5E7435BA"/>
    <w:rsid w:val="5E932ED8"/>
    <w:rsid w:val="60760873"/>
    <w:rsid w:val="60C214BD"/>
    <w:rsid w:val="60C265CF"/>
    <w:rsid w:val="611B583E"/>
    <w:rsid w:val="617862AC"/>
    <w:rsid w:val="62A30EA1"/>
    <w:rsid w:val="62F60387"/>
    <w:rsid w:val="63181F99"/>
    <w:rsid w:val="6320789A"/>
    <w:rsid w:val="63D1618C"/>
    <w:rsid w:val="64661261"/>
    <w:rsid w:val="64932BAD"/>
    <w:rsid w:val="649B4982"/>
    <w:rsid w:val="64BC0286"/>
    <w:rsid w:val="650C2A2C"/>
    <w:rsid w:val="65B7D2A7"/>
    <w:rsid w:val="65CA54AC"/>
    <w:rsid w:val="6680326B"/>
    <w:rsid w:val="669A3582"/>
    <w:rsid w:val="66B337A8"/>
    <w:rsid w:val="66F23252"/>
    <w:rsid w:val="67920D68"/>
    <w:rsid w:val="67E47875"/>
    <w:rsid w:val="681F4C63"/>
    <w:rsid w:val="68E055B0"/>
    <w:rsid w:val="69961E22"/>
    <w:rsid w:val="6A23123C"/>
    <w:rsid w:val="6A2842F5"/>
    <w:rsid w:val="6A6547A8"/>
    <w:rsid w:val="6A6B5660"/>
    <w:rsid w:val="6B685571"/>
    <w:rsid w:val="6B8F7280"/>
    <w:rsid w:val="6BFF15D7"/>
    <w:rsid w:val="6C3309C1"/>
    <w:rsid w:val="6D1E32A1"/>
    <w:rsid w:val="6D322B1C"/>
    <w:rsid w:val="6D9B2F52"/>
    <w:rsid w:val="6E2576AE"/>
    <w:rsid w:val="6E290AB7"/>
    <w:rsid w:val="6E4B77F4"/>
    <w:rsid w:val="6EA45979"/>
    <w:rsid w:val="6EEB2130"/>
    <w:rsid w:val="6FAD1A1F"/>
    <w:rsid w:val="700B2EC6"/>
    <w:rsid w:val="70754AA5"/>
    <w:rsid w:val="70B8083E"/>
    <w:rsid w:val="714D6AE5"/>
    <w:rsid w:val="7171086E"/>
    <w:rsid w:val="719510A4"/>
    <w:rsid w:val="71A66548"/>
    <w:rsid w:val="71C53B96"/>
    <w:rsid w:val="71FA4772"/>
    <w:rsid w:val="71FC4DEA"/>
    <w:rsid w:val="728671BF"/>
    <w:rsid w:val="72C2568A"/>
    <w:rsid w:val="72C94CD5"/>
    <w:rsid w:val="73300DA4"/>
    <w:rsid w:val="744616E9"/>
    <w:rsid w:val="745A380B"/>
    <w:rsid w:val="74A02866"/>
    <w:rsid w:val="75580D0F"/>
    <w:rsid w:val="76440F92"/>
    <w:rsid w:val="767A7C68"/>
    <w:rsid w:val="772F3652"/>
    <w:rsid w:val="779F15A2"/>
    <w:rsid w:val="77AE1328"/>
    <w:rsid w:val="77B6383C"/>
    <w:rsid w:val="77B751AF"/>
    <w:rsid w:val="77FE6C2A"/>
    <w:rsid w:val="78423920"/>
    <w:rsid w:val="78A45D63"/>
    <w:rsid w:val="792128C5"/>
    <w:rsid w:val="794D08AD"/>
    <w:rsid w:val="79661C63"/>
    <w:rsid w:val="79D25FC2"/>
    <w:rsid w:val="79EA2C4D"/>
    <w:rsid w:val="79F90BEF"/>
    <w:rsid w:val="7A4A14CB"/>
    <w:rsid w:val="7A774554"/>
    <w:rsid w:val="7A7F1400"/>
    <w:rsid w:val="7AD051DC"/>
    <w:rsid w:val="7ADB0A5E"/>
    <w:rsid w:val="7AE62B2D"/>
    <w:rsid w:val="7B28387D"/>
    <w:rsid w:val="7BA223D0"/>
    <w:rsid w:val="7C064AE8"/>
    <w:rsid w:val="7C29373A"/>
    <w:rsid w:val="7C6A3054"/>
    <w:rsid w:val="7CD54AA1"/>
    <w:rsid w:val="7CE44ECC"/>
    <w:rsid w:val="7CE571C4"/>
    <w:rsid w:val="7D0375F5"/>
    <w:rsid w:val="7D546905"/>
    <w:rsid w:val="7D6D7ABB"/>
    <w:rsid w:val="7D7234FB"/>
    <w:rsid w:val="7DE04CFD"/>
    <w:rsid w:val="7E4F6774"/>
    <w:rsid w:val="7F173DB2"/>
    <w:rsid w:val="7F2266A0"/>
    <w:rsid w:val="7F2E17A9"/>
    <w:rsid w:val="7FAD2049"/>
    <w:rsid w:val="7FEE7A90"/>
    <w:rsid w:val="7FEF3D0E"/>
    <w:rsid w:val="7FF23572"/>
    <w:rsid w:val="8DDB261E"/>
    <w:rsid w:val="8DFE854D"/>
    <w:rsid w:val="CEEA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annotation subject"/>
    <w:basedOn w:val="2"/>
    <w:next w:val="2"/>
    <w:link w:val="10"/>
    <w:qFormat/>
    <w:uiPriority w:val="0"/>
    <w:rPr>
      <w:b/>
      <w:bCs/>
    </w:rPr>
  </w:style>
  <w:style w:type="character" w:styleId="7">
    <w:name w:val="annotation reference"/>
    <w:basedOn w:val="6"/>
    <w:qFormat/>
    <w:uiPriority w:val="0"/>
    <w:rPr>
      <w:sz w:val="21"/>
      <w:szCs w:val="21"/>
    </w:rPr>
  </w:style>
  <w:style w:type="paragraph" w:customStyle="1" w:styleId="8">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9">
    <w:name w:val="批注文字 字符"/>
    <w:basedOn w:val="6"/>
    <w:link w:val="2"/>
    <w:qFormat/>
    <w:uiPriority w:val="0"/>
    <w:rPr>
      <w:kern w:val="2"/>
      <w:sz w:val="21"/>
    </w:rPr>
  </w:style>
  <w:style w:type="character" w:customStyle="1" w:styleId="10">
    <w:name w:val="批注主题 字符"/>
    <w:basedOn w:val="9"/>
    <w:link w:val="4"/>
    <w:qFormat/>
    <w:uiPriority w:val="0"/>
    <w:rPr>
      <w:b/>
      <w:bCs/>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3307</Words>
  <Characters>3526</Characters>
  <Lines>18</Lines>
  <Paragraphs>5</Paragraphs>
  <TotalTime>8</TotalTime>
  <ScaleCrop>false</ScaleCrop>
  <LinksUpToDate>false</LinksUpToDate>
  <CharactersWithSpaces>3608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2024-09-26T22:32:00Z</dcterms:created>
  <dc:creator>杨贵娇</dc:creator>
  <cp:lastModifiedBy>杨贵娇</cp:lastModifiedBy>
  <dcterms:modified xsi:type="dcterms:W3CDTF">2025-07-10T00:49:50Z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E81F89B941DC463EBF1E3B1B6EC102A8_13</vt:lpwstr>
  </property>
  <property fmtid="{D5CDD505-2E9C-101B-9397-08002B2CF9AE}" pid="4" name="KSOTemplateDocerSaveRecord">
    <vt:lpwstr>eyJoZGlkIjoiZTM2MTRlOTE5NzU3Y2FhZmJjMTA4ODAwNjMyZWVhZDciLCJ1c2VySWQiOiIzOTQyNDEyNzQifQ==</vt:lpwstr>
  </property>
</Properties>
</file>