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8F19" w14:textId="77777777" w:rsidR="00C153E2" w:rsidRDefault="00000000">
      <w:pPr>
        <w:spacing w:afterLines="50" w:after="156"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证券代码：605598</w:t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 w:hint="eastAsia"/>
          <w:b/>
          <w:bCs/>
          <w:sz w:val="24"/>
          <w:szCs w:val="24"/>
        </w:rPr>
        <w:t>证券简称：上海港湾</w:t>
      </w:r>
    </w:p>
    <w:p w14:paraId="32A671FF" w14:textId="77777777" w:rsidR="00C153E2" w:rsidRDefault="00000000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上海港湾基础建设（集团）股份有限公司</w:t>
      </w:r>
    </w:p>
    <w:p w14:paraId="36701B27" w14:textId="77777777" w:rsidR="00C153E2" w:rsidRDefault="00000000">
      <w:pPr>
        <w:spacing w:line="360" w:lineRule="auto"/>
        <w:ind w:firstLine="198"/>
        <w:jc w:val="center"/>
        <w:rPr>
          <w:rFonts w:ascii="宋体" w:eastAsia="宋体" w:hAnsi="宋体" w:cs="黑体" w:hint="eastAsia"/>
          <w:b/>
          <w:bCs/>
          <w:sz w:val="32"/>
          <w:szCs w:val="32"/>
        </w:rPr>
      </w:pPr>
      <w:r>
        <w:rPr>
          <w:rFonts w:ascii="宋体" w:eastAsia="宋体" w:hAnsi="宋体" w:cs="黑体" w:hint="eastAsia"/>
          <w:b/>
          <w:bCs/>
          <w:sz w:val="32"/>
          <w:szCs w:val="32"/>
        </w:rPr>
        <w:t>投资者关系活动记录表</w:t>
      </w:r>
    </w:p>
    <w:p w14:paraId="156582D7" w14:textId="77777777" w:rsidR="00C153E2" w:rsidRDefault="00000000">
      <w:pPr>
        <w:spacing w:afterLines="50" w:after="156" w:line="360" w:lineRule="auto"/>
        <w:ind w:firstLine="200"/>
        <w:jc w:val="center"/>
        <w:rPr>
          <w:rFonts w:ascii="宋体" w:eastAsia="宋体" w:hAnsi="宋体" w:cs="黑体" w:hint="eastAsia"/>
          <w:b/>
          <w:bCs/>
          <w:sz w:val="32"/>
          <w:szCs w:val="32"/>
        </w:rPr>
      </w:pPr>
      <w:r>
        <w:rPr>
          <w:rFonts w:ascii="宋体" w:eastAsia="宋体" w:hAnsi="宋体" w:cs="黑体" w:hint="eastAsia"/>
          <w:b/>
          <w:bCs/>
          <w:sz w:val="32"/>
          <w:szCs w:val="32"/>
        </w:rPr>
        <w:t>（2025年7月）</w:t>
      </w:r>
    </w:p>
    <w:p w14:paraId="05CE8701" w14:textId="77777777" w:rsidR="00C153E2" w:rsidRDefault="00000000" w:rsidP="00B84411">
      <w:pPr>
        <w:spacing w:beforeLines="50" w:before="156" w:afterLines="50" w:after="156" w:line="360" w:lineRule="auto"/>
        <w:ind w:firstLine="198"/>
        <w:jc w:val="left"/>
        <w:rPr>
          <w:rFonts w:ascii="宋体" w:eastAsia="宋体" w:hAnsi="宋体" w:cs="黑体" w:hint="eastAsia"/>
          <w:sz w:val="24"/>
          <w:szCs w:val="24"/>
        </w:rPr>
      </w:pPr>
      <w:r>
        <w:rPr>
          <w:rFonts w:ascii="宋体" w:eastAsia="宋体" w:hAnsi="宋体" w:cs="黑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黑体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黑体" w:hint="eastAsia"/>
          <w:sz w:val="24"/>
          <w:szCs w:val="24"/>
        </w:rPr>
        <w:t>上海港湾基础建设（集团）股份有限公司于近期以线上和线下的方式与投资者、机构分析师、研究员等就公司生产经营相关情况进行交流，现将投资者关系活动的主要情况汇总发布如下：</w:t>
      </w: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1838"/>
        <w:gridCol w:w="6460"/>
      </w:tblGrid>
      <w:tr w:rsidR="00C153E2" w14:paraId="55966A6B" w14:textId="77777777">
        <w:trPr>
          <w:trHeight w:val="1474"/>
        </w:trPr>
        <w:tc>
          <w:tcPr>
            <w:tcW w:w="1838" w:type="dxa"/>
            <w:vAlign w:val="center"/>
          </w:tcPr>
          <w:p w14:paraId="5F1DF10D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投资者关系</w:t>
            </w:r>
          </w:p>
          <w:p w14:paraId="1AB568B3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vAlign w:val="center"/>
          </w:tcPr>
          <w:p w14:paraId="3C7E60DC" w14:textId="7C98123E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</w:t>
            </w:r>
            <w:r w:rsidR="006B1EA5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756BCD9" w14:textId="77777777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3597C45F" w14:textId="77777777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1A554DCD" w14:textId="77777777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C153E2" w14:paraId="0A06EB27" w14:textId="77777777">
        <w:trPr>
          <w:trHeight w:val="52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67D6683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参与机构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268B0" w14:textId="3C8BA5B2" w:rsidR="00C153E2" w:rsidRPr="00B347F4" w:rsidRDefault="000D6BDE" w:rsidP="000D6BDE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天风证券资管、国寿安保基金、申万菱信基金、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泰信基金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、泰康资产、广发基金、中邮基金、人保资本、长江养老、西部利得基金、华泰资产、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中信保诚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基金、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启夏资本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浙商资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管、三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鑫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资产、西南证券自营、光大保德信基金、太平资产、安信基金、人保资产、东方证券资管、华夏未来资本、华安基金、建信理财、南方基金、易方达基金、民生加银基金、新华基金、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信达澳亚基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金、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弘尚投资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、上海鲸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象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资产、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睿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华资产、中科沃土基金、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希杨资本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、重鼎资产、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允泰资本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、源乐晟资产、青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骊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投资、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玖鹏资产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、浙江谦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洵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私募基金、北京和聚投资、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润晖投资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、中信建投、东北证券、申万宏源证券、光大证券、东方证券、天风证券、中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信建投证券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、国泰海通证券、中信证券、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浙商证券</w:t>
            </w:r>
            <w:proofErr w:type="gramEnd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、西部证券、广发证券、光大银行、</w:t>
            </w:r>
            <w:proofErr w:type="gramStart"/>
            <w:r w:rsidRPr="00B347F4">
              <w:rPr>
                <w:rFonts w:ascii="宋体" w:eastAsia="宋体" w:hAnsi="宋体" w:cs="宋体" w:hint="eastAsia"/>
                <w:sz w:val="24"/>
                <w:szCs w:val="24"/>
              </w:rPr>
              <w:t>稠州银行</w:t>
            </w:r>
            <w:proofErr w:type="gramEnd"/>
          </w:p>
        </w:tc>
      </w:tr>
      <w:tr w:rsidR="00C153E2" w14:paraId="68B21F40" w14:textId="77777777">
        <w:trPr>
          <w:trHeight w:val="788"/>
        </w:trPr>
        <w:tc>
          <w:tcPr>
            <w:tcW w:w="1838" w:type="dxa"/>
            <w:vAlign w:val="center"/>
          </w:tcPr>
          <w:p w14:paraId="4677E805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460" w:type="dxa"/>
            <w:vAlign w:val="center"/>
          </w:tcPr>
          <w:p w14:paraId="010CF225" w14:textId="77777777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公司会议室</w:t>
            </w:r>
          </w:p>
        </w:tc>
      </w:tr>
      <w:tr w:rsidR="00C153E2" w14:paraId="74270639" w14:textId="77777777">
        <w:trPr>
          <w:trHeight w:val="854"/>
        </w:trPr>
        <w:tc>
          <w:tcPr>
            <w:tcW w:w="1838" w:type="dxa"/>
            <w:vAlign w:val="center"/>
          </w:tcPr>
          <w:p w14:paraId="1465C1BB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上市公司</w:t>
            </w:r>
          </w:p>
          <w:p w14:paraId="1EC5DBF5" w14:textId="77777777" w:rsidR="00C153E2" w:rsidRDefault="00000000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接待人员</w:t>
            </w:r>
          </w:p>
        </w:tc>
        <w:tc>
          <w:tcPr>
            <w:tcW w:w="6460" w:type="dxa"/>
            <w:vAlign w:val="center"/>
          </w:tcPr>
          <w:p w14:paraId="27940240" w14:textId="77777777" w:rsidR="00C153E2" w:rsidRDefault="0000000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董事会秘书王懿倩</w:t>
            </w:r>
          </w:p>
        </w:tc>
      </w:tr>
      <w:tr w:rsidR="00C153E2" w14:paraId="46AC6758" w14:textId="77777777">
        <w:tc>
          <w:tcPr>
            <w:tcW w:w="1838" w:type="dxa"/>
            <w:vAlign w:val="center"/>
          </w:tcPr>
          <w:p w14:paraId="1826A2A9" w14:textId="77777777" w:rsidR="00C153E2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6460" w:type="dxa"/>
            <w:vAlign w:val="center"/>
          </w:tcPr>
          <w:p w14:paraId="4215F3ED" w14:textId="56A07EC5" w:rsidR="00C153E2" w:rsidRDefault="00FA658D">
            <w:pPr>
              <w:keepNext/>
              <w:keepLines/>
              <w:numPr>
                <w:ilvl w:val="0"/>
                <w:numId w:val="1"/>
              </w:numPr>
              <w:spacing w:line="360" w:lineRule="auto"/>
              <w:ind w:firstLine="482"/>
              <w:outlineLvl w:val="3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 w:rsidRPr="00FA6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请问公司在竞争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较为</w:t>
            </w:r>
            <w:r w:rsidRPr="00FA6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激烈的建筑行业中，是如何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持续巩固</w:t>
            </w:r>
            <w:r w:rsidRPr="00FA6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核心竞争力并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保持高质量发展</w:t>
            </w:r>
            <w:r w:rsidRPr="00FA6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的</w:t>
            </w:r>
            <w:r w:rsidR="000000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？</w:t>
            </w:r>
          </w:p>
          <w:p w14:paraId="1CDDFF8C" w14:textId="77777777" w:rsidR="00EE5103" w:rsidRDefault="00000000" w:rsidP="00EE5103">
            <w:pPr>
              <w:keepNext/>
              <w:keepLines/>
              <w:spacing w:line="360" w:lineRule="auto"/>
              <w:outlineLvl w:val="3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  </w:t>
            </w:r>
            <w:r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答：公司通过聚焦核心主业、把握市场机遇、坚持科技创新等举措实现了业务持续增长：</w:t>
            </w:r>
          </w:p>
          <w:p w14:paraId="401ABD03" w14:textId="2BE5759E" w:rsidR="00C153E2" w:rsidRPr="000D6BDE" w:rsidRDefault="000D6BDE" w:rsidP="00EE5103">
            <w:pPr>
              <w:keepNext/>
              <w:keepLines/>
              <w:spacing w:line="360" w:lineRule="auto"/>
              <w:ind w:firstLineChars="200" w:firstLine="420"/>
              <w:outlineLvl w:val="3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（1）</w:t>
            </w:r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聚焦核心主业：公司始终聚焦岩土工程综合服务主业，秉持成为全球一流岩土工程综合服务提供商的愿景，坚持“以市场为导向、以技术为驱动、以人才为核心”的经营理念，围绕经营目标扎实推进各项工作。</w:t>
            </w:r>
          </w:p>
          <w:p w14:paraId="5CD20271" w14:textId="3662E261" w:rsidR="00C153E2" w:rsidRPr="000D6BDE" w:rsidRDefault="000D6BDE" w:rsidP="00EE5103">
            <w:pPr>
              <w:keepNext/>
              <w:keepLines/>
              <w:spacing w:line="360" w:lineRule="auto"/>
              <w:ind w:firstLineChars="200" w:firstLine="420"/>
              <w:outlineLvl w:val="3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（2）</w:t>
            </w:r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把握市场机遇：国内方面，顺应市场、行业和政策变化，服务国家战略，</w:t>
            </w:r>
            <w:r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抓住重点项目的机遇，</w:t>
            </w:r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利用自身优势挖掘客户需求，承揽了一批标志</w:t>
            </w:r>
            <w:proofErr w:type="gramStart"/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性重点</w:t>
            </w:r>
            <w:proofErr w:type="gramEnd"/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工程。海外方面，抓住“一带一路”沿线国家工业化</w:t>
            </w:r>
            <w:r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和城镇化的</w:t>
            </w:r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发展机遇，坚持属地化经营模式，瞄准盈利市场，在东南亚、中东等国家与地区扩大市场影响力，收获大量优质订单。</w:t>
            </w:r>
          </w:p>
          <w:p w14:paraId="17D97F26" w14:textId="3DFBD507" w:rsidR="00C153E2" w:rsidRPr="000D6BDE" w:rsidRDefault="000D6BDE" w:rsidP="00EE5103">
            <w:pPr>
              <w:keepNext/>
              <w:keepLines/>
              <w:spacing w:line="360" w:lineRule="auto"/>
              <w:ind w:firstLineChars="200" w:firstLine="420"/>
              <w:outlineLvl w:val="3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（3）</w:t>
            </w:r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坚持科技创新：</w:t>
            </w:r>
            <w:proofErr w:type="gramStart"/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践行</w:t>
            </w:r>
            <w:proofErr w:type="gramEnd"/>
            <w:r w:rsidR="00000000"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“科技强企、创新驱动”战略，依托设计中心，沉淀项目实施经验，建设核心数据库，推动技术迭代创新。同时，推行管理信息化、施工管控数字化，借助信息化平台对项目要素进行精细化管理，以数据驱动优化运营效率。此外，公司还前瞻布局战略新兴产业与未来产业领域，加大在新材料等前沿技术领域的科研投入，开拓全新增长曲线。</w:t>
            </w:r>
          </w:p>
          <w:p w14:paraId="5E7F8E01" w14:textId="77777777" w:rsidR="00C153E2" w:rsidRDefault="00C153E2">
            <w:pPr>
              <w:keepNext/>
              <w:keepLines/>
              <w:spacing w:line="360" w:lineRule="auto"/>
              <w:outlineLvl w:val="3"/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5A508B9A" w14:textId="0BB70BA2" w:rsidR="00C153E2" w:rsidRDefault="00000000">
            <w:pPr>
              <w:keepNext/>
              <w:keepLines/>
              <w:numPr>
                <w:ilvl w:val="0"/>
                <w:numId w:val="1"/>
              </w:numPr>
              <w:spacing w:line="360" w:lineRule="auto"/>
              <w:ind w:firstLine="482"/>
              <w:outlineLvl w:val="3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公司</w:t>
            </w:r>
            <w:r w:rsidR="00E672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第二增长曲线布局在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钙钛矿</w:t>
            </w:r>
            <w:r w:rsidR="00E6720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太阳能电池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方面有哪些优势？</w:t>
            </w:r>
          </w:p>
          <w:p w14:paraId="3D9EFF4C" w14:textId="43D8CE5A" w:rsidR="00C153E2" w:rsidRPr="000D6BDE" w:rsidRDefault="00000000" w:rsidP="000D6BDE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（1）产学研合作紧密：公司和复旦大学共建实验室，能快速把</w:t>
            </w:r>
            <w:r w:rsidR="00AF6BAB">
              <w:rPr>
                <w:rFonts w:ascii="宋体" w:eastAsia="宋体" w:hAnsi="宋体" w:cs="宋体" w:hint="eastAsia"/>
                <w:szCs w:val="21"/>
              </w:rPr>
              <w:t>科研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技术从实验室推向产业化。（2）顶尖人才与专利优势：核心团队</w:t>
            </w:r>
            <w:r w:rsidR="00AF6BAB">
              <w:rPr>
                <w:rFonts w:ascii="宋体" w:eastAsia="宋体" w:hAnsi="宋体" w:cs="宋体" w:hint="eastAsia"/>
                <w:szCs w:val="21"/>
              </w:rPr>
              <w:t>皆为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资深专家，具备柔性钙钛矿</w:t>
            </w:r>
            <w:r w:rsidR="00AF6BAB">
              <w:rPr>
                <w:rFonts w:ascii="宋体" w:eastAsia="宋体" w:hAnsi="宋体" w:cs="宋体" w:hint="eastAsia"/>
                <w:szCs w:val="21"/>
              </w:rPr>
              <w:t>的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十余年</w:t>
            </w:r>
            <w:r w:rsidR="00AF6BAB">
              <w:rPr>
                <w:rFonts w:ascii="宋体" w:eastAsia="宋体" w:hAnsi="宋体" w:cs="宋体" w:hint="eastAsia"/>
                <w:szCs w:val="21"/>
              </w:rPr>
              <w:t>研发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经验，技术积累深厚</w:t>
            </w:r>
            <w:r w:rsidR="00AF6BAB">
              <w:rPr>
                <w:rFonts w:ascii="宋体" w:eastAsia="宋体" w:hAnsi="宋体" w:cs="宋体" w:hint="eastAsia"/>
                <w:szCs w:val="21"/>
              </w:rPr>
              <w:t>；同时，公司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通过研发及收购关键专利，形成技术护城河。（3）差异化技术路线独特：</w:t>
            </w:r>
            <w:r w:rsidR="00AF6BAB">
              <w:rPr>
                <w:rFonts w:ascii="宋体" w:eastAsia="宋体" w:hAnsi="宋体" w:cs="宋体" w:hint="eastAsia"/>
                <w:szCs w:val="21"/>
              </w:rPr>
              <w:t>公司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专注柔性钙钛矿细分领域，产品效率高，30×30cm组件认证效率达18.06%，处于行业第一梯队，已在多颗在轨卫星上验证过稳定性。（4）全链条布局，商业化快：</w:t>
            </w:r>
            <w:r w:rsidR="00E959BB">
              <w:rPr>
                <w:rFonts w:ascii="宋体" w:eastAsia="宋体" w:hAnsi="宋体" w:cs="宋体" w:hint="eastAsia"/>
                <w:szCs w:val="21"/>
              </w:rPr>
              <w:t>公司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从材料到终端产品都有布局，成本控制力强，还能降低运输安装成本。（5）全球化助力市场拓展：可依托</w:t>
            </w:r>
            <w:r w:rsidR="00E959BB">
              <w:rPr>
                <w:rFonts w:ascii="宋体" w:eastAsia="宋体" w:hAnsi="宋体" w:cs="宋体" w:hint="eastAsia"/>
                <w:szCs w:val="21"/>
              </w:rPr>
              <w:t>公司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在全球的资源，快速切入海外市场，契合全球</w:t>
            </w:r>
            <w:r w:rsidR="00E959BB">
              <w:rPr>
                <w:rFonts w:ascii="宋体" w:eastAsia="宋体" w:hAnsi="宋体" w:cs="宋体" w:hint="eastAsia"/>
                <w:szCs w:val="21"/>
              </w:rPr>
              <w:t>“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碳中和</w:t>
            </w:r>
            <w:r w:rsidR="00E959BB">
              <w:rPr>
                <w:rFonts w:ascii="宋体" w:eastAsia="宋体" w:hAnsi="宋体" w:cs="宋体" w:hint="eastAsia"/>
                <w:szCs w:val="21"/>
              </w:rPr>
              <w:t>”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和</w:t>
            </w:r>
            <w:r w:rsidR="00E959BB">
              <w:rPr>
                <w:rFonts w:ascii="宋体" w:eastAsia="宋体" w:hAnsi="宋体" w:cs="宋体" w:hint="eastAsia"/>
                <w:szCs w:val="21"/>
              </w:rPr>
              <w:t>“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碳达峰</w:t>
            </w:r>
            <w:r w:rsidR="00E959BB">
              <w:rPr>
                <w:rFonts w:ascii="宋体" w:eastAsia="宋体" w:hAnsi="宋体" w:cs="宋体" w:hint="eastAsia"/>
                <w:szCs w:val="21"/>
              </w:rPr>
              <w:t>”</w:t>
            </w:r>
            <w:r w:rsidRPr="000D6BDE">
              <w:rPr>
                <w:rFonts w:ascii="宋体" w:eastAsia="宋体" w:hAnsi="宋体" w:cs="宋体" w:hint="eastAsia"/>
                <w:szCs w:val="21"/>
              </w:rPr>
              <w:t>的政策，适合多种</w:t>
            </w:r>
            <w:r w:rsidRPr="000D6BDE">
              <w:rPr>
                <w:rFonts w:ascii="宋体" w:eastAsia="宋体" w:hAnsi="宋体" w:cs="宋体" w:hint="eastAsia"/>
                <w:szCs w:val="21"/>
              </w:rPr>
              <w:lastRenderedPageBreak/>
              <w:t>应用场景。</w:t>
            </w:r>
          </w:p>
          <w:p w14:paraId="75CB53E0" w14:textId="77777777" w:rsidR="00C153E2" w:rsidRDefault="00C153E2">
            <w:pPr>
              <w:keepNext/>
              <w:keepLines/>
              <w:spacing w:line="360" w:lineRule="auto"/>
              <w:ind w:firstLine="480"/>
              <w:outlineLvl w:val="3"/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86FE1D9" w14:textId="000AA448" w:rsidR="00C153E2" w:rsidRDefault="00000000">
            <w:pPr>
              <w:keepNext/>
              <w:keepLines/>
              <w:numPr>
                <w:ilvl w:val="0"/>
                <w:numId w:val="1"/>
              </w:numPr>
              <w:spacing w:line="360" w:lineRule="auto"/>
              <w:ind w:firstLine="482"/>
              <w:outlineLvl w:val="3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钙钛矿</w:t>
            </w:r>
            <w:r w:rsidR="0070693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太阳能电池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  <w:t>业务未来市场发展空间如何？</w:t>
            </w:r>
          </w:p>
          <w:p w14:paraId="2C80C524" w14:textId="4671952D" w:rsidR="003A2FB5" w:rsidRDefault="00000000" w:rsidP="000D6BDE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</w:pPr>
            <w:r w:rsidRPr="000D6BDE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</w:t>
            </w:r>
            <w:r w:rsidR="00706934" w:rsidRPr="00706934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钙钛矿材料具备轻薄、柔性、可半透明及弱光响应优异等特性，且光吸收能力突出——其单结电池理论</w:t>
            </w:r>
            <w:proofErr w:type="gramStart"/>
            <w:r w:rsidR="00706934" w:rsidRPr="00706934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效率超</w:t>
            </w:r>
            <w:proofErr w:type="gramEnd"/>
            <w:r w:rsidR="00706934" w:rsidRPr="00706934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30%，叠层电池更可达40%以上，这一表现远超当前效率已接近理论极限的晶硅电池。</w:t>
            </w:r>
            <w:r w:rsidR="003A2FB5" w:rsidRPr="003A2FB5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高转换效率赋予钙钛矿太阳能电池在光</w:t>
            </w:r>
            <w:proofErr w:type="gramStart"/>
            <w:r w:rsidR="003A2FB5" w:rsidRPr="003A2FB5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伏市场</w:t>
            </w:r>
            <w:proofErr w:type="gramEnd"/>
            <w:r w:rsidR="003A2FB5" w:rsidRPr="003A2FB5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的强劲竞争力，使其有望占据更大市场份额，尤其在对发电效率要求较高的应用场景中，优势更为突出。与此同时，钙钛矿太阳能电池制备工艺简洁高效、生产速度快，</w:t>
            </w:r>
            <w:proofErr w:type="gramStart"/>
            <w:r w:rsidR="003A2FB5" w:rsidRPr="003A2FB5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未来量</w:t>
            </w:r>
            <w:proofErr w:type="gramEnd"/>
            <w:r w:rsidR="003A2FB5" w:rsidRPr="003A2FB5">
              <w:rPr>
                <w:rFonts w:ascii="宋体" w:eastAsia="宋体" w:hAnsi="宋体" w:cs="宋体"/>
                <w:kern w:val="0"/>
                <w:szCs w:val="21"/>
                <w:shd w:val="clear" w:color="auto" w:fill="FFFFFF"/>
                <w:lang w:bidi="ar"/>
              </w:rPr>
              <w:t>产的成本优势将十分显著；随着大规模量产的实现，其成本还将进一步下降，这不仅会推动更多领域选择钙钛矿光伏产品，更将助力其市场规模持续扩大。</w:t>
            </w:r>
          </w:p>
          <w:p w14:paraId="4202173F" w14:textId="77777777" w:rsidR="00C153E2" w:rsidRDefault="00C153E2">
            <w:pPr>
              <w:keepNext/>
              <w:keepLines/>
              <w:spacing w:line="360" w:lineRule="auto"/>
              <w:ind w:firstLineChars="200" w:firstLine="480"/>
              <w:outlineLvl w:val="3"/>
              <w:rPr>
                <w:rFonts w:ascii="宋体" w:eastAsia="宋体" w:hAnsi="宋体" w:cs="宋体" w:hint="eastAsia"/>
                <w:color w:val="222222"/>
                <w:sz w:val="24"/>
                <w:szCs w:val="24"/>
                <w:shd w:val="clear" w:color="auto" w:fill="FFFFFF"/>
              </w:rPr>
            </w:pPr>
          </w:p>
          <w:p w14:paraId="1F23DC5B" w14:textId="77777777" w:rsidR="00C153E2" w:rsidRDefault="00000000">
            <w:pPr>
              <w:keepNext/>
              <w:keepLines/>
              <w:numPr>
                <w:ilvl w:val="0"/>
                <w:numId w:val="1"/>
              </w:numPr>
              <w:spacing w:line="360" w:lineRule="auto"/>
              <w:ind w:firstLine="482"/>
              <w:outlineLvl w:val="3"/>
              <w:rPr>
                <w:rFonts w:ascii="宋体" w:eastAsia="宋体" w:hAnsi="宋体" w:cs="宋体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请问公司钙钛矿电池在航天领域的具体运用？</w:t>
            </w:r>
          </w:p>
          <w:p w14:paraId="3BD08DC9" w14:textId="2E6544AC" w:rsidR="00C153E2" w:rsidRPr="006C7031" w:rsidRDefault="00000000" w:rsidP="00521F3D">
            <w:pPr>
              <w:spacing w:line="36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 w:rsidRPr="006C7031">
              <w:rPr>
                <w:rFonts w:ascii="宋体" w:eastAsia="宋体" w:hAnsi="宋体" w:cs="宋体" w:hint="eastAsia"/>
                <w:szCs w:val="21"/>
              </w:rPr>
              <w:t>答：</w:t>
            </w:r>
            <w:r w:rsidR="00521F3D" w:rsidRPr="00521F3D">
              <w:rPr>
                <w:rFonts w:ascii="宋体" w:eastAsia="宋体" w:hAnsi="宋体" w:cs="宋体"/>
                <w:szCs w:val="21"/>
              </w:rPr>
              <w:t xml:space="preserve">公司旗下控股子公司上海伏曦炘空科技有限公司，聚焦卫星、空间飞行器、无人机等领域的能源需求，专注于为客户提供轻量化、低成本、高性能的空间能源系统解决方案，并深度参与关键产品研发服务。在技术落地与市场应用层面，该公司已取得显著成果：其能源系统产品成功助力 15 颗卫星发射入轨，40 </w:t>
            </w:r>
            <w:proofErr w:type="gramStart"/>
            <w:r w:rsidR="00521F3D" w:rsidRPr="00521F3D">
              <w:rPr>
                <w:rFonts w:ascii="宋体" w:eastAsia="宋体" w:hAnsi="宋体" w:cs="宋体"/>
                <w:szCs w:val="21"/>
              </w:rPr>
              <w:t>余套卫星</w:t>
            </w:r>
            <w:proofErr w:type="gramEnd"/>
            <w:r w:rsidR="00521F3D" w:rsidRPr="00521F3D">
              <w:rPr>
                <w:rFonts w:ascii="宋体" w:eastAsia="宋体" w:hAnsi="宋体" w:cs="宋体"/>
                <w:szCs w:val="21"/>
              </w:rPr>
              <w:t>电源系统、太阳帆板及结构机构持续在</w:t>
            </w:r>
            <w:proofErr w:type="gramStart"/>
            <w:r w:rsidR="00521F3D" w:rsidRPr="00521F3D">
              <w:rPr>
                <w:rFonts w:ascii="宋体" w:eastAsia="宋体" w:hAnsi="宋体" w:cs="宋体"/>
                <w:szCs w:val="21"/>
              </w:rPr>
              <w:t>轨稳定</w:t>
            </w:r>
            <w:proofErr w:type="gramEnd"/>
            <w:r w:rsidR="00521F3D" w:rsidRPr="00521F3D">
              <w:rPr>
                <w:rFonts w:ascii="宋体" w:eastAsia="宋体" w:hAnsi="宋体" w:cs="宋体"/>
                <w:szCs w:val="21"/>
              </w:rPr>
              <w:t>运行，充分验证了产品的可靠性与稳定性。</w:t>
            </w:r>
            <w:r w:rsidRPr="006C7031">
              <w:rPr>
                <w:rFonts w:ascii="宋体" w:eastAsia="宋体" w:hAnsi="宋体" w:cs="宋体" w:hint="eastAsia"/>
                <w:szCs w:val="21"/>
              </w:rPr>
              <w:t>2025年上半年，</w:t>
            </w:r>
            <w:r w:rsidR="00521F3D">
              <w:rPr>
                <w:rFonts w:ascii="宋体" w:eastAsia="宋体" w:hAnsi="宋体" w:cs="宋体" w:hint="eastAsia"/>
                <w:szCs w:val="21"/>
              </w:rPr>
              <w:t>该</w:t>
            </w:r>
            <w:r w:rsidRPr="006C7031">
              <w:rPr>
                <w:rFonts w:ascii="宋体" w:eastAsia="宋体" w:hAnsi="宋体" w:cs="宋体" w:hint="eastAsia"/>
                <w:szCs w:val="21"/>
              </w:rPr>
              <w:t>公司卫星电源系统业务呈现快速增长态势，订单储备丰盈且增速亮眼，已构建起“研发创新-工程验证–成功交付”的良性发展闭环。目前，公司同步推进卫星电源系统的技术研发与场景应用，核心产品关键指标通过</w:t>
            </w:r>
            <w:proofErr w:type="gramStart"/>
            <w:r w:rsidRPr="006C7031">
              <w:rPr>
                <w:rFonts w:ascii="宋体" w:eastAsia="宋体" w:hAnsi="宋体" w:cs="宋体" w:hint="eastAsia"/>
                <w:szCs w:val="21"/>
              </w:rPr>
              <w:t>航天级严苛</w:t>
            </w:r>
            <w:proofErr w:type="gramEnd"/>
            <w:r w:rsidRPr="006C7031">
              <w:rPr>
                <w:rFonts w:ascii="宋体" w:eastAsia="宋体" w:hAnsi="宋体" w:cs="宋体" w:hint="eastAsia"/>
                <w:szCs w:val="21"/>
              </w:rPr>
              <w:t>环境测试，服务覆盖二十余家卫星总体单位，合作客户包括长光卫星、钧天航宇、时空道宇、星河动力、蓝</w:t>
            </w:r>
            <w:proofErr w:type="gramStart"/>
            <w:r w:rsidRPr="006C7031">
              <w:rPr>
                <w:rFonts w:ascii="宋体" w:eastAsia="宋体" w:hAnsi="宋体" w:cs="宋体" w:hint="eastAsia"/>
                <w:szCs w:val="21"/>
              </w:rPr>
              <w:t>箭鸿擎</w:t>
            </w:r>
            <w:proofErr w:type="gramEnd"/>
            <w:r w:rsidRPr="006C7031">
              <w:rPr>
                <w:rFonts w:ascii="宋体" w:eastAsia="宋体" w:hAnsi="宋体" w:cs="宋体" w:hint="eastAsia"/>
                <w:szCs w:val="21"/>
              </w:rPr>
              <w:t>、西光航天、上光通信等行业标杆企业，形成多领域、多层次的优质客户矩阵</w:t>
            </w:r>
            <w:r w:rsidR="00521F3D">
              <w:rPr>
                <w:rFonts w:ascii="宋体" w:eastAsia="宋体" w:hAnsi="宋体" w:cs="宋体" w:hint="eastAsia"/>
                <w:szCs w:val="21"/>
              </w:rPr>
              <w:t>。当前，公司</w:t>
            </w:r>
            <w:r w:rsidRPr="006C7031">
              <w:rPr>
                <w:rFonts w:ascii="宋体" w:eastAsia="宋体" w:hAnsi="宋体" w:cs="宋体" w:hint="eastAsia"/>
                <w:szCs w:val="21"/>
              </w:rPr>
              <w:t>正有序开展工程化验证等全链条协同，彰显了其在细分领域的核心竞争力与市场认可度。</w:t>
            </w:r>
          </w:p>
          <w:p w14:paraId="26FE6824" w14:textId="775DE321" w:rsidR="00877336" w:rsidRDefault="00877336" w:rsidP="006C7031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877336">
              <w:rPr>
                <w:rFonts w:ascii="宋体" w:eastAsia="宋体" w:hAnsi="宋体" w:cs="宋体"/>
                <w:szCs w:val="21"/>
              </w:rPr>
              <w:t>在前沿技术探索上，公司依托钙钛矿电池优异的光电转换特性，通过太阳能向电能的高效转化，为卫星运行提供核心能源支持。目前，公司已在多颗卫星上搭载钙钛矿太阳电池开展在轨试验，精准采集电性能数据并监测其在太空环境中的运行状态，持续</w:t>
            </w:r>
            <w:r w:rsidRPr="00877336">
              <w:rPr>
                <w:rFonts w:ascii="宋体" w:eastAsia="宋体" w:hAnsi="宋体" w:cs="宋体"/>
                <w:szCs w:val="21"/>
              </w:rPr>
              <w:lastRenderedPageBreak/>
              <w:t>优化研制技术与工艺 —— 这为该技术后续的大规模应用积累了关键经验、奠定了坚实基础，进一步强化了公司在卫星能源领域的技术前瞻性与布局深度。</w:t>
            </w:r>
          </w:p>
          <w:p w14:paraId="5EDF2296" w14:textId="77777777" w:rsidR="00C153E2" w:rsidRDefault="00C153E2">
            <w:pPr>
              <w:keepNext/>
              <w:keepLines/>
              <w:spacing w:line="360" w:lineRule="auto"/>
              <w:outlineLvl w:val="3"/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87CB810" w14:textId="77777777" w:rsidR="00C153E2" w:rsidRDefault="00000000">
            <w:pPr>
              <w:keepNext/>
              <w:keepLines/>
              <w:numPr>
                <w:ilvl w:val="0"/>
                <w:numId w:val="1"/>
              </w:numPr>
              <w:spacing w:line="360" w:lineRule="auto"/>
              <w:ind w:firstLine="482"/>
              <w:outlineLvl w:val="3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公司钙钛矿电池是否能够满足</w:t>
            </w:r>
            <w:bookmarkStart w:id="0" w:name="OLE_LINK5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卫星等航天器全生命周期用电需求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？</w:t>
            </w:r>
          </w:p>
          <w:p w14:paraId="5C83A67D" w14:textId="77777777" w:rsidR="00C153E2" w:rsidRPr="006C7031" w:rsidRDefault="00000000" w:rsidP="006C7031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6C703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</w:t>
            </w:r>
            <w:r w:rsidRPr="006C7031">
              <w:rPr>
                <w:rFonts w:ascii="宋体" w:eastAsia="宋体" w:hAnsi="宋体" w:cs="宋体" w:hint="eastAsia"/>
                <w:szCs w:val="21"/>
              </w:rPr>
              <w:t>公司钙钛矿电池的理论设计寿命可达 20 年，而卫星等部分航天器的理论寿命通常为3-5 年或5-7年。从寿命参数对比来看，公司钙钛矿电池完全能够覆盖卫星等航天器的全生命周期用电需求。</w:t>
            </w:r>
          </w:p>
          <w:p w14:paraId="7F347AE8" w14:textId="77777777" w:rsidR="00C153E2" w:rsidRDefault="00C153E2">
            <w:pPr>
              <w:keepNext/>
              <w:keepLines/>
              <w:spacing w:line="360" w:lineRule="auto"/>
              <w:outlineLvl w:val="3"/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69F1A708" w14:textId="7F789DD5" w:rsidR="00C153E2" w:rsidRDefault="00000000">
            <w:pPr>
              <w:spacing w:line="360" w:lineRule="auto"/>
              <w:ind w:firstLine="480"/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  <w:t>特此发布。敬请广大投资者注意投资风险</w:t>
            </w:r>
            <w:r w:rsidR="0085197F"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  <w:t>！</w:t>
            </w:r>
          </w:p>
          <w:p w14:paraId="24675685" w14:textId="77777777" w:rsidR="00C153E2" w:rsidRDefault="00C153E2">
            <w:pPr>
              <w:spacing w:line="360" w:lineRule="auto"/>
              <w:ind w:firstLine="480"/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</w:pPr>
          </w:p>
          <w:p w14:paraId="03D6133B" w14:textId="77777777" w:rsidR="00C153E2" w:rsidRDefault="00000000">
            <w:pPr>
              <w:spacing w:line="360" w:lineRule="auto"/>
              <w:ind w:firstLineChars="200" w:firstLine="480"/>
              <w:jc w:val="right"/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hd w:val="clear" w:color="auto" w:fill="FFFFFF"/>
              </w:rPr>
              <w:t>上海港湾基础建设（集团）股份有限公司</w:t>
            </w:r>
          </w:p>
        </w:tc>
      </w:tr>
      <w:tr w:rsidR="00C153E2" w14:paraId="6E8C508F" w14:textId="77777777">
        <w:tc>
          <w:tcPr>
            <w:tcW w:w="1838" w:type="dxa"/>
            <w:vAlign w:val="center"/>
          </w:tcPr>
          <w:p w14:paraId="5F057B8D" w14:textId="77777777" w:rsidR="00C153E2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460" w:type="dxa"/>
            <w:vAlign w:val="center"/>
          </w:tcPr>
          <w:p w14:paraId="7061AF3B" w14:textId="77777777" w:rsidR="00C153E2" w:rsidRDefault="00000000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2025年7月</w:t>
            </w:r>
          </w:p>
        </w:tc>
      </w:tr>
    </w:tbl>
    <w:p w14:paraId="3CACE875" w14:textId="77777777" w:rsidR="00C153E2" w:rsidRDefault="00C153E2">
      <w:pPr>
        <w:rPr>
          <w:rFonts w:ascii="宋体" w:eastAsia="宋体" w:hAnsi="宋体" w:cs="宋体" w:hint="eastAsia"/>
          <w:sz w:val="24"/>
          <w:szCs w:val="24"/>
        </w:rPr>
      </w:pPr>
    </w:p>
    <w:sectPr w:rsidR="00C1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3965" w14:textId="77777777" w:rsidR="00700E01" w:rsidRDefault="00700E01" w:rsidP="006B1EA5">
      <w:pPr>
        <w:rPr>
          <w:rFonts w:hint="eastAsia"/>
        </w:rPr>
      </w:pPr>
      <w:r>
        <w:separator/>
      </w:r>
    </w:p>
  </w:endnote>
  <w:endnote w:type="continuationSeparator" w:id="0">
    <w:p w14:paraId="6C54E6BA" w14:textId="77777777" w:rsidR="00700E01" w:rsidRDefault="00700E01" w:rsidP="006B1E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9F32" w14:textId="77777777" w:rsidR="00700E01" w:rsidRDefault="00700E01" w:rsidP="006B1EA5">
      <w:pPr>
        <w:rPr>
          <w:rFonts w:hint="eastAsia"/>
        </w:rPr>
      </w:pPr>
      <w:r>
        <w:separator/>
      </w:r>
    </w:p>
  </w:footnote>
  <w:footnote w:type="continuationSeparator" w:id="0">
    <w:p w14:paraId="060F3E22" w14:textId="77777777" w:rsidR="00700E01" w:rsidRDefault="00700E01" w:rsidP="006B1E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8DCC"/>
    <w:multiLevelType w:val="singleLevel"/>
    <w:tmpl w:val="3E6C8DCC"/>
    <w:lvl w:ilvl="0">
      <w:start w:val="1"/>
      <w:numFmt w:val="chineseCounting"/>
      <w:suff w:val="nothing"/>
      <w:lvlText w:val="%1、"/>
      <w:lvlJc w:val="left"/>
      <w:pPr>
        <w:ind w:left="-62"/>
      </w:pPr>
      <w:rPr>
        <w:rFonts w:hint="eastAsia"/>
        <w:b/>
        <w:bCs/>
      </w:rPr>
    </w:lvl>
  </w:abstractNum>
  <w:num w:numId="1" w16cid:durableId="9842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U1NWE4ZWUyZjM1NjRhMGMzZGU3NWYyZDU5MWFjM2UifQ=="/>
  </w:docVars>
  <w:rsids>
    <w:rsidRoot w:val="00703536"/>
    <w:rsid w:val="000018AF"/>
    <w:rsid w:val="00011DBF"/>
    <w:rsid w:val="00015270"/>
    <w:rsid w:val="00022E46"/>
    <w:rsid w:val="00027946"/>
    <w:rsid w:val="00027B7F"/>
    <w:rsid w:val="000368B8"/>
    <w:rsid w:val="00037098"/>
    <w:rsid w:val="00045DE1"/>
    <w:rsid w:val="0005101D"/>
    <w:rsid w:val="0005283D"/>
    <w:rsid w:val="0005541B"/>
    <w:rsid w:val="0005740E"/>
    <w:rsid w:val="000630E0"/>
    <w:rsid w:val="0007705B"/>
    <w:rsid w:val="00092672"/>
    <w:rsid w:val="00092E64"/>
    <w:rsid w:val="00093AC7"/>
    <w:rsid w:val="0009585B"/>
    <w:rsid w:val="000A26F6"/>
    <w:rsid w:val="000A3AB5"/>
    <w:rsid w:val="000A4D30"/>
    <w:rsid w:val="000A5C08"/>
    <w:rsid w:val="000A7E5D"/>
    <w:rsid w:val="000B0223"/>
    <w:rsid w:val="000C3AB2"/>
    <w:rsid w:val="000C4E1D"/>
    <w:rsid w:val="000D03AF"/>
    <w:rsid w:val="000D56C9"/>
    <w:rsid w:val="000D6ABF"/>
    <w:rsid w:val="000D6BDE"/>
    <w:rsid w:val="000E1095"/>
    <w:rsid w:val="000E2349"/>
    <w:rsid w:val="000E3AD1"/>
    <w:rsid w:val="0010004C"/>
    <w:rsid w:val="00102C14"/>
    <w:rsid w:val="00102E24"/>
    <w:rsid w:val="00103582"/>
    <w:rsid w:val="001035E8"/>
    <w:rsid w:val="001061D4"/>
    <w:rsid w:val="001126BC"/>
    <w:rsid w:val="001200C8"/>
    <w:rsid w:val="0012504C"/>
    <w:rsid w:val="001257B6"/>
    <w:rsid w:val="00136A96"/>
    <w:rsid w:val="0014531A"/>
    <w:rsid w:val="00151E47"/>
    <w:rsid w:val="0016040B"/>
    <w:rsid w:val="00165813"/>
    <w:rsid w:val="00174C89"/>
    <w:rsid w:val="00177302"/>
    <w:rsid w:val="00184A1B"/>
    <w:rsid w:val="00186E59"/>
    <w:rsid w:val="00190B19"/>
    <w:rsid w:val="00191915"/>
    <w:rsid w:val="00195D47"/>
    <w:rsid w:val="0019688C"/>
    <w:rsid w:val="001A4524"/>
    <w:rsid w:val="001A5635"/>
    <w:rsid w:val="001B08D3"/>
    <w:rsid w:val="001B7AB1"/>
    <w:rsid w:val="001C5762"/>
    <w:rsid w:val="001C77EC"/>
    <w:rsid w:val="001E1E66"/>
    <w:rsid w:val="001E40CD"/>
    <w:rsid w:val="001E5C33"/>
    <w:rsid w:val="002005A1"/>
    <w:rsid w:val="00204779"/>
    <w:rsid w:val="002072BB"/>
    <w:rsid w:val="00216FAB"/>
    <w:rsid w:val="00222548"/>
    <w:rsid w:val="00231D9A"/>
    <w:rsid w:val="002511E1"/>
    <w:rsid w:val="00254513"/>
    <w:rsid w:val="00263AD1"/>
    <w:rsid w:val="00264493"/>
    <w:rsid w:val="00266213"/>
    <w:rsid w:val="00273A7F"/>
    <w:rsid w:val="00276AD7"/>
    <w:rsid w:val="00277263"/>
    <w:rsid w:val="002804C8"/>
    <w:rsid w:val="00285FE6"/>
    <w:rsid w:val="0029085C"/>
    <w:rsid w:val="00290CE4"/>
    <w:rsid w:val="002916A6"/>
    <w:rsid w:val="002949D3"/>
    <w:rsid w:val="00296718"/>
    <w:rsid w:val="002A268E"/>
    <w:rsid w:val="002A2D53"/>
    <w:rsid w:val="002A3354"/>
    <w:rsid w:val="002C1B1D"/>
    <w:rsid w:val="002C56C5"/>
    <w:rsid w:val="002C759E"/>
    <w:rsid w:val="002D409A"/>
    <w:rsid w:val="002E0281"/>
    <w:rsid w:val="002F4613"/>
    <w:rsid w:val="002F5D42"/>
    <w:rsid w:val="00306CE6"/>
    <w:rsid w:val="0030722D"/>
    <w:rsid w:val="00315155"/>
    <w:rsid w:val="003151FA"/>
    <w:rsid w:val="00317012"/>
    <w:rsid w:val="00327C65"/>
    <w:rsid w:val="00330241"/>
    <w:rsid w:val="003361DD"/>
    <w:rsid w:val="003379D6"/>
    <w:rsid w:val="00337D98"/>
    <w:rsid w:val="00340F9C"/>
    <w:rsid w:val="00343674"/>
    <w:rsid w:val="00353481"/>
    <w:rsid w:val="00353DAE"/>
    <w:rsid w:val="003540F8"/>
    <w:rsid w:val="0038116C"/>
    <w:rsid w:val="0038294B"/>
    <w:rsid w:val="00383D2B"/>
    <w:rsid w:val="00392291"/>
    <w:rsid w:val="003A2FB5"/>
    <w:rsid w:val="003A34EF"/>
    <w:rsid w:val="003C0590"/>
    <w:rsid w:val="003C2DC4"/>
    <w:rsid w:val="003D182E"/>
    <w:rsid w:val="003E683A"/>
    <w:rsid w:val="003F2B18"/>
    <w:rsid w:val="00403A43"/>
    <w:rsid w:val="004076CE"/>
    <w:rsid w:val="00415593"/>
    <w:rsid w:val="004251B2"/>
    <w:rsid w:val="00425745"/>
    <w:rsid w:val="00430B96"/>
    <w:rsid w:val="00431D8E"/>
    <w:rsid w:val="00437A36"/>
    <w:rsid w:val="004406FC"/>
    <w:rsid w:val="0047176F"/>
    <w:rsid w:val="00471E73"/>
    <w:rsid w:val="004726D2"/>
    <w:rsid w:val="004743FC"/>
    <w:rsid w:val="004871E8"/>
    <w:rsid w:val="0049211B"/>
    <w:rsid w:val="0049445E"/>
    <w:rsid w:val="00496243"/>
    <w:rsid w:val="004A6AB7"/>
    <w:rsid w:val="004B13EE"/>
    <w:rsid w:val="004B6400"/>
    <w:rsid w:val="004C2E7F"/>
    <w:rsid w:val="004C67FA"/>
    <w:rsid w:val="004D5C16"/>
    <w:rsid w:val="004E2436"/>
    <w:rsid w:val="004E2694"/>
    <w:rsid w:val="004E6138"/>
    <w:rsid w:val="004E629C"/>
    <w:rsid w:val="004E680A"/>
    <w:rsid w:val="004E71E1"/>
    <w:rsid w:val="004E7402"/>
    <w:rsid w:val="004F0874"/>
    <w:rsid w:val="004F185A"/>
    <w:rsid w:val="00500C2E"/>
    <w:rsid w:val="00510DE6"/>
    <w:rsid w:val="00521F3D"/>
    <w:rsid w:val="00522186"/>
    <w:rsid w:val="00532D85"/>
    <w:rsid w:val="00533737"/>
    <w:rsid w:val="00535492"/>
    <w:rsid w:val="005364C0"/>
    <w:rsid w:val="005404C3"/>
    <w:rsid w:val="005406E5"/>
    <w:rsid w:val="00546379"/>
    <w:rsid w:val="00565020"/>
    <w:rsid w:val="00570C53"/>
    <w:rsid w:val="00572B26"/>
    <w:rsid w:val="00586E15"/>
    <w:rsid w:val="0059288F"/>
    <w:rsid w:val="005B47A0"/>
    <w:rsid w:val="005B5F67"/>
    <w:rsid w:val="005D3613"/>
    <w:rsid w:val="005D55D2"/>
    <w:rsid w:val="005D7D7A"/>
    <w:rsid w:val="005E079C"/>
    <w:rsid w:val="005E31DF"/>
    <w:rsid w:val="005E56F8"/>
    <w:rsid w:val="005E794D"/>
    <w:rsid w:val="005E7C03"/>
    <w:rsid w:val="005F3B33"/>
    <w:rsid w:val="005F3BD9"/>
    <w:rsid w:val="006012F2"/>
    <w:rsid w:val="00611D1B"/>
    <w:rsid w:val="006121FB"/>
    <w:rsid w:val="00617EBE"/>
    <w:rsid w:val="00626400"/>
    <w:rsid w:val="006266C8"/>
    <w:rsid w:val="0062735D"/>
    <w:rsid w:val="00634486"/>
    <w:rsid w:val="006346B9"/>
    <w:rsid w:val="006410F4"/>
    <w:rsid w:val="00644727"/>
    <w:rsid w:val="006506E8"/>
    <w:rsid w:val="0065557E"/>
    <w:rsid w:val="00657166"/>
    <w:rsid w:val="00662717"/>
    <w:rsid w:val="00665A55"/>
    <w:rsid w:val="0066787E"/>
    <w:rsid w:val="006711A8"/>
    <w:rsid w:val="00673058"/>
    <w:rsid w:val="006744A3"/>
    <w:rsid w:val="00680206"/>
    <w:rsid w:val="00686CED"/>
    <w:rsid w:val="00687146"/>
    <w:rsid w:val="00690BAC"/>
    <w:rsid w:val="0069146C"/>
    <w:rsid w:val="00693C1A"/>
    <w:rsid w:val="006A745E"/>
    <w:rsid w:val="006B1EA5"/>
    <w:rsid w:val="006B259E"/>
    <w:rsid w:val="006B3E28"/>
    <w:rsid w:val="006B51EE"/>
    <w:rsid w:val="006B533D"/>
    <w:rsid w:val="006B766F"/>
    <w:rsid w:val="006B7DDB"/>
    <w:rsid w:val="006C1F92"/>
    <w:rsid w:val="006C476E"/>
    <w:rsid w:val="006C7031"/>
    <w:rsid w:val="006D0C61"/>
    <w:rsid w:val="006D2953"/>
    <w:rsid w:val="006D6333"/>
    <w:rsid w:val="006F065E"/>
    <w:rsid w:val="006F1A62"/>
    <w:rsid w:val="006F494D"/>
    <w:rsid w:val="00700E01"/>
    <w:rsid w:val="00703536"/>
    <w:rsid w:val="007065ED"/>
    <w:rsid w:val="00706934"/>
    <w:rsid w:val="00715985"/>
    <w:rsid w:val="00720EFC"/>
    <w:rsid w:val="00721572"/>
    <w:rsid w:val="00724E9E"/>
    <w:rsid w:val="00732351"/>
    <w:rsid w:val="007346A9"/>
    <w:rsid w:val="0075400F"/>
    <w:rsid w:val="00766F7E"/>
    <w:rsid w:val="007720F6"/>
    <w:rsid w:val="0077320A"/>
    <w:rsid w:val="00783599"/>
    <w:rsid w:val="00784340"/>
    <w:rsid w:val="007A15CE"/>
    <w:rsid w:val="007B1705"/>
    <w:rsid w:val="007B2FEC"/>
    <w:rsid w:val="007C38CB"/>
    <w:rsid w:val="007C5601"/>
    <w:rsid w:val="007D34D8"/>
    <w:rsid w:val="007D5D55"/>
    <w:rsid w:val="007E72B3"/>
    <w:rsid w:val="007F2A2A"/>
    <w:rsid w:val="007F7C06"/>
    <w:rsid w:val="007F7CEB"/>
    <w:rsid w:val="008034B9"/>
    <w:rsid w:val="008057AF"/>
    <w:rsid w:val="00805B6E"/>
    <w:rsid w:val="00807B7F"/>
    <w:rsid w:val="008122AA"/>
    <w:rsid w:val="008175E5"/>
    <w:rsid w:val="00834EC5"/>
    <w:rsid w:val="0084555D"/>
    <w:rsid w:val="0085197F"/>
    <w:rsid w:val="00855A0A"/>
    <w:rsid w:val="00860111"/>
    <w:rsid w:val="00861F0F"/>
    <w:rsid w:val="008638FC"/>
    <w:rsid w:val="00864FA6"/>
    <w:rsid w:val="00870C05"/>
    <w:rsid w:val="00877336"/>
    <w:rsid w:val="00884C13"/>
    <w:rsid w:val="008A13A0"/>
    <w:rsid w:val="008A418C"/>
    <w:rsid w:val="008B0551"/>
    <w:rsid w:val="008B7B2D"/>
    <w:rsid w:val="008C554E"/>
    <w:rsid w:val="008C7E93"/>
    <w:rsid w:val="008D18F7"/>
    <w:rsid w:val="008E01B1"/>
    <w:rsid w:val="008E190B"/>
    <w:rsid w:val="008E7D9B"/>
    <w:rsid w:val="008F2693"/>
    <w:rsid w:val="008F5E28"/>
    <w:rsid w:val="00910C0D"/>
    <w:rsid w:val="00913941"/>
    <w:rsid w:val="0091504A"/>
    <w:rsid w:val="009220AF"/>
    <w:rsid w:val="00933C74"/>
    <w:rsid w:val="009447F2"/>
    <w:rsid w:val="00954E94"/>
    <w:rsid w:val="00972A18"/>
    <w:rsid w:val="0097489C"/>
    <w:rsid w:val="00976035"/>
    <w:rsid w:val="0098166F"/>
    <w:rsid w:val="00991299"/>
    <w:rsid w:val="00993461"/>
    <w:rsid w:val="009A105C"/>
    <w:rsid w:val="009A22DD"/>
    <w:rsid w:val="009A351D"/>
    <w:rsid w:val="009A428F"/>
    <w:rsid w:val="009B47FC"/>
    <w:rsid w:val="009C6F26"/>
    <w:rsid w:val="009D338D"/>
    <w:rsid w:val="009D3521"/>
    <w:rsid w:val="009D73F0"/>
    <w:rsid w:val="009E1425"/>
    <w:rsid w:val="009E3A31"/>
    <w:rsid w:val="009E42DF"/>
    <w:rsid w:val="009E705E"/>
    <w:rsid w:val="009F58E2"/>
    <w:rsid w:val="009F7720"/>
    <w:rsid w:val="00A00098"/>
    <w:rsid w:val="00A140DD"/>
    <w:rsid w:val="00A24897"/>
    <w:rsid w:val="00A26B64"/>
    <w:rsid w:val="00A33A73"/>
    <w:rsid w:val="00A41206"/>
    <w:rsid w:val="00A43E6C"/>
    <w:rsid w:val="00A54CC2"/>
    <w:rsid w:val="00A61895"/>
    <w:rsid w:val="00A63B8B"/>
    <w:rsid w:val="00A66416"/>
    <w:rsid w:val="00A67B32"/>
    <w:rsid w:val="00A7136A"/>
    <w:rsid w:val="00A95A8B"/>
    <w:rsid w:val="00AA3123"/>
    <w:rsid w:val="00AB2249"/>
    <w:rsid w:val="00AB2591"/>
    <w:rsid w:val="00AC42D5"/>
    <w:rsid w:val="00AC5195"/>
    <w:rsid w:val="00AD0FFD"/>
    <w:rsid w:val="00AD3CFC"/>
    <w:rsid w:val="00AF4B6C"/>
    <w:rsid w:val="00AF6BAB"/>
    <w:rsid w:val="00B142A3"/>
    <w:rsid w:val="00B14DD7"/>
    <w:rsid w:val="00B15814"/>
    <w:rsid w:val="00B178C8"/>
    <w:rsid w:val="00B347F4"/>
    <w:rsid w:val="00B3706D"/>
    <w:rsid w:val="00B4090D"/>
    <w:rsid w:val="00B43155"/>
    <w:rsid w:val="00B43FCE"/>
    <w:rsid w:val="00B44A75"/>
    <w:rsid w:val="00B44BD2"/>
    <w:rsid w:val="00B5002B"/>
    <w:rsid w:val="00B56A9D"/>
    <w:rsid w:val="00B6085B"/>
    <w:rsid w:val="00B64BA8"/>
    <w:rsid w:val="00B84411"/>
    <w:rsid w:val="00B94037"/>
    <w:rsid w:val="00B95A82"/>
    <w:rsid w:val="00BA1329"/>
    <w:rsid w:val="00BB52D6"/>
    <w:rsid w:val="00BC36B5"/>
    <w:rsid w:val="00BC4A75"/>
    <w:rsid w:val="00BD71C1"/>
    <w:rsid w:val="00BF4612"/>
    <w:rsid w:val="00C038B7"/>
    <w:rsid w:val="00C1303E"/>
    <w:rsid w:val="00C14596"/>
    <w:rsid w:val="00C153E2"/>
    <w:rsid w:val="00C1571A"/>
    <w:rsid w:val="00C31891"/>
    <w:rsid w:val="00C34389"/>
    <w:rsid w:val="00C42B34"/>
    <w:rsid w:val="00C5549D"/>
    <w:rsid w:val="00C605E8"/>
    <w:rsid w:val="00C623D3"/>
    <w:rsid w:val="00C65132"/>
    <w:rsid w:val="00C72207"/>
    <w:rsid w:val="00C7414C"/>
    <w:rsid w:val="00C77696"/>
    <w:rsid w:val="00C84ABE"/>
    <w:rsid w:val="00CA3088"/>
    <w:rsid w:val="00CB2455"/>
    <w:rsid w:val="00CB3E50"/>
    <w:rsid w:val="00CC00E2"/>
    <w:rsid w:val="00CC236B"/>
    <w:rsid w:val="00CC4277"/>
    <w:rsid w:val="00CD007D"/>
    <w:rsid w:val="00CD5D98"/>
    <w:rsid w:val="00CE5358"/>
    <w:rsid w:val="00CF1347"/>
    <w:rsid w:val="00CF4DD4"/>
    <w:rsid w:val="00CF57A1"/>
    <w:rsid w:val="00CF5D55"/>
    <w:rsid w:val="00D051B7"/>
    <w:rsid w:val="00D16055"/>
    <w:rsid w:val="00D331A3"/>
    <w:rsid w:val="00D33E89"/>
    <w:rsid w:val="00D41A69"/>
    <w:rsid w:val="00D43A52"/>
    <w:rsid w:val="00D47049"/>
    <w:rsid w:val="00D549EB"/>
    <w:rsid w:val="00D55A61"/>
    <w:rsid w:val="00D56BED"/>
    <w:rsid w:val="00D60884"/>
    <w:rsid w:val="00D65BBF"/>
    <w:rsid w:val="00D732BA"/>
    <w:rsid w:val="00D84A80"/>
    <w:rsid w:val="00D94906"/>
    <w:rsid w:val="00D97082"/>
    <w:rsid w:val="00DA0B44"/>
    <w:rsid w:val="00DA249C"/>
    <w:rsid w:val="00DA2587"/>
    <w:rsid w:val="00DA778B"/>
    <w:rsid w:val="00DC12C5"/>
    <w:rsid w:val="00DC1719"/>
    <w:rsid w:val="00DC37E1"/>
    <w:rsid w:val="00DC6EAC"/>
    <w:rsid w:val="00DC7613"/>
    <w:rsid w:val="00DD1EC2"/>
    <w:rsid w:val="00DD6C6C"/>
    <w:rsid w:val="00DE2600"/>
    <w:rsid w:val="00DE2772"/>
    <w:rsid w:val="00DE5765"/>
    <w:rsid w:val="00DE5D1A"/>
    <w:rsid w:val="00DE7843"/>
    <w:rsid w:val="00E0143D"/>
    <w:rsid w:val="00E01E88"/>
    <w:rsid w:val="00E12960"/>
    <w:rsid w:val="00E12A39"/>
    <w:rsid w:val="00E24DE0"/>
    <w:rsid w:val="00E26BB4"/>
    <w:rsid w:val="00E31017"/>
    <w:rsid w:val="00E3188A"/>
    <w:rsid w:val="00E33ED5"/>
    <w:rsid w:val="00E343C4"/>
    <w:rsid w:val="00E34471"/>
    <w:rsid w:val="00E35C40"/>
    <w:rsid w:val="00E41953"/>
    <w:rsid w:val="00E42B62"/>
    <w:rsid w:val="00E43A77"/>
    <w:rsid w:val="00E529ED"/>
    <w:rsid w:val="00E60F26"/>
    <w:rsid w:val="00E63F32"/>
    <w:rsid w:val="00E67207"/>
    <w:rsid w:val="00E85167"/>
    <w:rsid w:val="00E8656F"/>
    <w:rsid w:val="00E86B56"/>
    <w:rsid w:val="00E91E69"/>
    <w:rsid w:val="00E959BB"/>
    <w:rsid w:val="00EA066B"/>
    <w:rsid w:val="00EB2CA3"/>
    <w:rsid w:val="00EC3DED"/>
    <w:rsid w:val="00EE0255"/>
    <w:rsid w:val="00EE13F4"/>
    <w:rsid w:val="00EE3C77"/>
    <w:rsid w:val="00EE4AAE"/>
    <w:rsid w:val="00EE4EBD"/>
    <w:rsid w:val="00EE5103"/>
    <w:rsid w:val="00EF4170"/>
    <w:rsid w:val="00EF64CD"/>
    <w:rsid w:val="00EF6EC8"/>
    <w:rsid w:val="00F04116"/>
    <w:rsid w:val="00F10002"/>
    <w:rsid w:val="00F247AE"/>
    <w:rsid w:val="00F247D6"/>
    <w:rsid w:val="00F33504"/>
    <w:rsid w:val="00F40345"/>
    <w:rsid w:val="00F458D2"/>
    <w:rsid w:val="00F54083"/>
    <w:rsid w:val="00F62104"/>
    <w:rsid w:val="00F66A74"/>
    <w:rsid w:val="00F66CB3"/>
    <w:rsid w:val="00F725C2"/>
    <w:rsid w:val="00F749CE"/>
    <w:rsid w:val="00F826A0"/>
    <w:rsid w:val="00F924B5"/>
    <w:rsid w:val="00F93046"/>
    <w:rsid w:val="00F95881"/>
    <w:rsid w:val="00F95C0E"/>
    <w:rsid w:val="00FA2CC9"/>
    <w:rsid w:val="00FA658D"/>
    <w:rsid w:val="00FA7950"/>
    <w:rsid w:val="00FA7BB9"/>
    <w:rsid w:val="00FB0FFD"/>
    <w:rsid w:val="00FB15DC"/>
    <w:rsid w:val="00FB4C11"/>
    <w:rsid w:val="00FB591E"/>
    <w:rsid w:val="00FB5A6B"/>
    <w:rsid w:val="00FC34D2"/>
    <w:rsid w:val="00FD1C91"/>
    <w:rsid w:val="00FD72ED"/>
    <w:rsid w:val="00FD7389"/>
    <w:rsid w:val="00FD7E1E"/>
    <w:rsid w:val="00FF0ED0"/>
    <w:rsid w:val="00FF2908"/>
    <w:rsid w:val="01B35B8E"/>
    <w:rsid w:val="01C44D9D"/>
    <w:rsid w:val="02385327"/>
    <w:rsid w:val="02A91D81"/>
    <w:rsid w:val="04E733FC"/>
    <w:rsid w:val="057B0AB5"/>
    <w:rsid w:val="061567A2"/>
    <w:rsid w:val="07554285"/>
    <w:rsid w:val="07994CE0"/>
    <w:rsid w:val="07FA4B11"/>
    <w:rsid w:val="08707B78"/>
    <w:rsid w:val="08F27B49"/>
    <w:rsid w:val="0BC67C13"/>
    <w:rsid w:val="0C3152C1"/>
    <w:rsid w:val="0D5613EC"/>
    <w:rsid w:val="0D92714F"/>
    <w:rsid w:val="0E2D0FE0"/>
    <w:rsid w:val="0E6352A9"/>
    <w:rsid w:val="0E802B47"/>
    <w:rsid w:val="0E835AAA"/>
    <w:rsid w:val="1107071A"/>
    <w:rsid w:val="12950C5F"/>
    <w:rsid w:val="12EC5225"/>
    <w:rsid w:val="13693592"/>
    <w:rsid w:val="13D11606"/>
    <w:rsid w:val="14B16280"/>
    <w:rsid w:val="1743234C"/>
    <w:rsid w:val="178B4162"/>
    <w:rsid w:val="188625BD"/>
    <w:rsid w:val="18FA3D58"/>
    <w:rsid w:val="1B5543FC"/>
    <w:rsid w:val="1E053519"/>
    <w:rsid w:val="1E780B2E"/>
    <w:rsid w:val="1E9430BB"/>
    <w:rsid w:val="214271D1"/>
    <w:rsid w:val="21B030D3"/>
    <w:rsid w:val="23DF164F"/>
    <w:rsid w:val="24207C9D"/>
    <w:rsid w:val="248A15BB"/>
    <w:rsid w:val="24D434BF"/>
    <w:rsid w:val="255D6241"/>
    <w:rsid w:val="263E5760"/>
    <w:rsid w:val="267B5785"/>
    <w:rsid w:val="283770FF"/>
    <w:rsid w:val="28F96D0F"/>
    <w:rsid w:val="2A007C29"/>
    <w:rsid w:val="2A77613D"/>
    <w:rsid w:val="2B286A75"/>
    <w:rsid w:val="2B3A0136"/>
    <w:rsid w:val="2C363DD6"/>
    <w:rsid w:val="2D6C0259"/>
    <w:rsid w:val="2DD611BE"/>
    <w:rsid w:val="30D575D4"/>
    <w:rsid w:val="315471D8"/>
    <w:rsid w:val="318D3E9E"/>
    <w:rsid w:val="32801B67"/>
    <w:rsid w:val="335C4B78"/>
    <w:rsid w:val="338F274A"/>
    <w:rsid w:val="33A9517B"/>
    <w:rsid w:val="34B87A7E"/>
    <w:rsid w:val="37270684"/>
    <w:rsid w:val="3938121A"/>
    <w:rsid w:val="3CEE7BCE"/>
    <w:rsid w:val="3CF96E86"/>
    <w:rsid w:val="3D365C25"/>
    <w:rsid w:val="3D595B76"/>
    <w:rsid w:val="3EC6723B"/>
    <w:rsid w:val="42641245"/>
    <w:rsid w:val="43F263DD"/>
    <w:rsid w:val="43FD54AD"/>
    <w:rsid w:val="444255B6"/>
    <w:rsid w:val="449556E6"/>
    <w:rsid w:val="44AE49FA"/>
    <w:rsid w:val="46FA2178"/>
    <w:rsid w:val="471A0124"/>
    <w:rsid w:val="4B291F84"/>
    <w:rsid w:val="4CAB7309"/>
    <w:rsid w:val="4DE36B56"/>
    <w:rsid w:val="4ECD3CCE"/>
    <w:rsid w:val="4F5368C9"/>
    <w:rsid w:val="500219D2"/>
    <w:rsid w:val="50942CF5"/>
    <w:rsid w:val="50AA2519"/>
    <w:rsid w:val="51CB0999"/>
    <w:rsid w:val="52C97FC2"/>
    <w:rsid w:val="536B03A4"/>
    <w:rsid w:val="53DB3592"/>
    <w:rsid w:val="54A64A25"/>
    <w:rsid w:val="55682BFC"/>
    <w:rsid w:val="562E6D2C"/>
    <w:rsid w:val="57554D6E"/>
    <w:rsid w:val="576D0AF8"/>
    <w:rsid w:val="57AE00AE"/>
    <w:rsid w:val="59266DFD"/>
    <w:rsid w:val="59352B9C"/>
    <w:rsid w:val="595B5299"/>
    <w:rsid w:val="5CD01559"/>
    <w:rsid w:val="5D0905C7"/>
    <w:rsid w:val="5D261179"/>
    <w:rsid w:val="5D79399F"/>
    <w:rsid w:val="5DE828D3"/>
    <w:rsid w:val="61E57855"/>
    <w:rsid w:val="63C82A1C"/>
    <w:rsid w:val="64F17533"/>
    <w:rsid w:val="66287A2C"/>
    <w:rsid w:val="669C4B1E"/>
    <w:rsid w:val="66A422DA"/>
    <w:rsid w:val="66E31664"/>
    <w:rsid w:val="679715F1"/>
    <w:rsid w:val="6C456325"/>
    <w:rsid w:val="6CBD6116"/>
    <w:rsid w:val="6FC22F83"/>
    <w:rsid w:val="704443AA"/>
    <w:rsid w:val="70FE4184"/>
    <w:rsid w:val="71193077"/>
    <w:rsid w:val="72514A93"/>
    <w:rsid w:val="73371C29"/>
    <w:rsid w:val="738D5634"/>
    <w:rsid w:val="75306BE1"/>
    <w:rsid w:val="754E0E15"/>
    <w:rsid w:val="78D750CC"/>
    <w:rsid w:val="78DC5E22"/>
    <w:rsid w:val="79D109A5"/>
    <w:rsid w:val="7C6B04AB"/>
    <w:rsid w:val="7C831CEC"/>
    <w:rsid w:val="7E9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0D42A"/>
  <w15:docId w15:val="{2B71D361-8FC2-40F3-9D02-A4FEDA63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1256</Words>
  <Characters>1269</Characters>
  <Application>Microsoft Office Word</Application>
  <DocSecurity>0</DocSecurity>
  <Lines>66</Lines>
  <Paragraphs>40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郑岩 张</dc:creator>
  <cp:lastModifiedBy>294499578@qq.com</cp:lastModifiedBy>
  <cp:revision>19</cp:revision>
  <cp:lastPrinted>2023-09-04T04:58:00Z</cp:lastPrinted>
  <dcterms:created xsi:type="dcterms:W3CDTF">2025-03-05T05:41:00Z</dcterms:created>
  <dcterms:modified xsi:type="dcterms:W3CDTF">2025-07-11T08:10:00Z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2BA9C5CE78614ECAB062516CFE0A39EE_13</vt:lpwstr>
  </property>
  <property fmtid="{D5CDD505-2E9C-101B-9397-08002B2CF9AE}" pid="4" name="KSOTemplateDocerSaveRecord">
    <vt:lpwstr>eyJoZGlkIjoiMzFhOWI3YTc5ZTY0OTVmODRlNWIwZjdmNjA4NWJlM2IiLCJ1c2VySWQiOiIxMjI5NzQyMDg2In0=</vt:lpwstr>
  </property>
</Properties>
</file>