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E6F8E">
      <w:pPr>
        <w:spacing w:before="156" w:beforeLines="50" w:after="156" w:afterLines="50" w:line="400" w:lineRule="exact"/>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600939                             </w:t>
      </w:r>
      <w:r>
        <w:rPr>
          <w:rFonts w:hAnsi="宋体"/>
          <w:bCs/>
          <w:iCs/>
          <w:color w:val="000000"/>
          <w:sz w:val="24"/>
        </w:rPr>
        <w:t>证券简称：</w:t>
      </w:r>
      <w:r>
        <w:rPr>
          <w:color w:val="000000"/>
          <w:sz w:val="24"/>
        </w:rPr>
        <w:t>重庆建工</w:t>
      </w:r>
    </w:p>
    <w:p w14:paraId="2D351774">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重庆建工集团股份有限公司</w:t>
      </w:r>
      <w:r>
        <w:rPr>
          <w:rFonts w:hint="eastAsia" w:ascii="宋体" w:hAnsi="宋体"/>
          <w:b/>
          <w:bCs/>
          <w:iCs/>
          <w:color w:val="000000"/>
          <w:sz w:val="32"/>
          <w:szCs w:val="32"/>
        </w:rPr>
        <w:t>投资者关系活动记录表</w:t>
      </w:r>
    </w:p>
    <w:p w14:paraId="066833C9">
      <w:pPr>
        <w:spacing w:line="400" w:lineRule="exact"/>
        <w:rPr>
          <w:rFonts w:hint="default" w:eastAsia="宋体"/>
          <w:bCs/>
          <w:iCs/>
          <w:color w:val="000000"/>
          <w:sz w:val="24"/>
          <w:lang w:val="en-US" w:eastAsia="zh-CN"/>
        </w:rPr>
      </w:pPr>
      <w:r>
        <w:rPr>
          <w:rFonts w:hint="eastAsia" w:ascii="宋体" w:hAnsi="宋体"/>
          <w:bCs/>
          <w:iCs/>
          <w:color w:val="000000"/>
          <w:sz w:val="24"/>
        </w:rPr>
        <w:t xml:space="preserve">                                                   </w:t>
      </w:r>
    </w:p>
    <w:tbl>
      <w:tblPr>
        <w:tblStyle w:val="6"/>
        <w:tblW w:w="9384" w:type="dxa"/>
        <w:tblInd w:w="-2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0"/>
        <w:gridCol w:w="7434"/>
      </w:tblGrid>
      <w:tr w14:paraId="36EA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1950" w:type="dxa"/>
            <w:tcBorders>
              <w:top w:val="single" w:color="auto" w:sz="4" w:space="0"/>
              <w:left w:val="single" w:color="auto" w:sz="4" w:space="0"/>
              <w:bottom w:val="single" w:color="auto" w:sz="4" w:space="0"/>
              <w:right w:val="single" w:color="auto" w:sz="4" w:space="0"/>
            </w:tcBorders>
            <w:noWrap w:val="0"/>
            <w:vAlign w:val="top"/>
          </w:tcPr>
          <w:p w14:paraId="67F9FCE8">
            <w:pPr>
              <w:spacing w:line="420" w:lineRule="exact"/>
              <w:rPr>
                <w:bCs/>
                <w:iCs/>
                <w:color w:val="000000"/>
                <w:kern w:val="0"/>
                <w:sz w:val="24"/>
              </w:rPr>
            </w:pPr>
            <w:r>
              <w:rPr>
                <w:rFonts w:hAnsi="宋体"/>
                <w:bCs/>
                <w:iCs/>
                <w:color w:val="000000"/>
                <w:kern w:val="0"/>
                <w:sz w:val="24"/>
              </w:rPr>
              <w:t>投资者关系活动类别</w:t>
            </w:r>
          </w:p>
          <w:p w14:paraId="2E951CB8">
            <w:pPr>
              <w:spacing w:line="420" w:lineRule="exact"/>
              <w:rPr>
                <w:bCs/>
                <w:iCs/>
                <w:color w:val="000000"/>
                <w:sz w:val="24"/>
              </w:rPr>
            </w:pPr>
          </w:p>
        </w:tc>
        <w:tc>
          <w:tcPr>
            <w:tcW w:w="7434" w:type="dxa"/>
            <w:tcBorders>
              <w:top w:val="single" w:color="auto" w:sz="4" w:space="0"/>
              <w:left w:val="single" w:color="auto" w:sz="4" w:space="0"/>
              <w:bottom w:val="single" w:color="auto" w:sz="4" w:space="0"/>
              <w:right w:val="single" w:color="auto" w:sz="4" w:space="0"/>
            </w:tcBorders>
            <w:noWrap w:val="0"/>
            <w:vAlign w:val="top"/>
          </w:tcPr>
          <w:p w14:paraId="17FB4B3D">
            <w:pPr>
              <w:keepNext w:val="0"/>
              <w:keepLines w:val="0"/>
              <w:pageBreakBefore w:val="0"/>
              <w:widowControl w:val="0"/>
              <w:kinsoku/>
              <w:wordWrap/>
              <w:overflowPunct/>
              <w:topLinePunct w:val="0"/>
              <w:autoSpaceDE/>
              <w:autoSpaceDN/>
              <w:bidi w:val="0"/>
              <w:adjustRightInd/>
              <w:snapToGrid/>
              <w:spacing w:line="360" w:lineRule="exact"/>
              <w:textAlignment w:val="auto"/>
              <w:rPr>
                <w:bCs/>
                <w:iCs/>
                <w:color w:val="000000"/>
                <w:sz w:val="24"/>
              </w:rPr>
            </w:pPr>
            <w:r>
              <w:rPr>
                <w:rFonts w:hint="eastAsia"/>
                <w:bCs/>
                <w:iCs/>
                <w:color w:val="000000"/>
                <w:kern w:val="0"/>
                <w:sz w:val="24"/>
                <w:lang w:eastAsia="zh-CN"/>
              </w:rPr>
              <w:t>☑</w:t>
            </w:r>
            <w:r>
              <w:rPr>
                <w:rFonts w:hAnsi="宋体"/>
                <w:kern w:val="0"/>
                <w:sz w:val="24"/>
              </w:rPr>
              <w:t>特定对象调研</w:t>
            </w:r>
            <w:r>
              <w:rPr>
                <w:kern w:val="0"/>
                <w:sz w:val="24"/>
              </w:rPr>
              <w:t xml:space="preserve">       </w:t>
            </w:r>
            <w:r>
              <w:rPr>
                <w:rFonts w:hint="eastAsia"/>
                <w:kern w:val="0"/>
                <w:sz w:val="24"/>
              </w:rPr>
              <w:t xml:space="preserve"> </w:t>
            </w:r>
            <w:r>
              <w:rPr>
                <w:rFonts w:hint="eastAsia"/>
                <w:kern w:val="0"/>
                <w:sz w:val="24"/>
                <w:lang w:val="en-US" w:eastAsia="zh-CN"/>
              </w:rPr>
              <w:t xml:space="preserve"> </w:t>
            </w:r>
            <w:r>
              <w:rPr>
                <w:rFonts w:hint="eastAsia"/>
                <w:bCs/>
                <w:iCs/>
                <w:color w:val="000000"/>
                <w:kern w:val="0"/>
                <w:sz w:val="24"/>
                <w:lang w:eastAsia="zh-CN"/>
              </w:rPr>
              <w:t>☑</w:t>
            </w:r>
            <w:r>
              <w:rPr>
                <w:rFonts w:hint="eastAsia"/>
                <w:bCs/>
                <w:iCs/>
                <w:color w:val="000000"/>
                <w:kern w:val="0"/>
                <w:sz w:val="24"/>
              </w:rPr>
              <w:t xml:space="preserve"> </w:t>
            </w:r>
            <w:r>
              <w:rPr>
                <w:kern w:val="0"/>
                <w:sz w:val="24"/>
              </w:rPr>
              <w:t xml:space="preserve"> </w:t>
            </w:r>
            <w:r>
              <w:rPr>
                <w:rFonts w:hAnsi="宋体"/>
                <w:kern w:val="0"/>
                <w:sz w:val="24"/>
              </w:rPr>
              <w:t>分析师</w:t>
            </w:r>
            <w:r>
              <w:rPr>
                <w:rFonts w:hint="eastAsia" w:hAnsi="宋体"/>
                <w:kern w:val="0"/>
                <w:sz w:val="24"/>
                <w:lang w:val="en-US" w:eastAsia="zh-CN"/>
              </w:rPr>
              <w:t>/投资者</w:t>
            </w:r>
            <w:r>
              <w:rPr>
                <w:rFonts w:hAnsi="宋体"/>
                <w:kern w:val="0"/>
                <w:sz w:val="24"/>
              </w:rPr>
              <w:t>会议</w:t>
            </w:r>
          </w:p>
          <w:p w14:paraId="6C4064EB">
            <w:pPr>
              <w:keepNext w:val="0"/>
              <w:keepLines w:val="0"/>
              <w:pageBreakBefore w:val="0"/>
              <w:widowControl w:val="0"/>
              <w:kinsoku/>
              <w:wordWrap/>
              <w:overflowPunct/>
              <w:topLinePunct w:val="0"/>
              <w:autoSpaceDE/>
              <w:autoSpaceDN/>
              <w:bidi w:val="0"/>
              <w:adjustRightInd/>
              <w:snapToGrid/>
              <w:spacing w:line="360" w:lineRule="exact"/>
              <w:textAlignment w:val="auto"/>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79D73174">
            <w:pPr>
              <w:keepNext w:val="0"/>
              <w:keepLines w:val="0"/>
              <w:pageBreakBefore w:val="0"/>
              <w:widowControl w:val="0"/>
              <w:kinsoku/>
              <w:wordWrap/>
              <w:overflowPunct/>
              <w:topLinePunct w:val="0"/>
              <w:autoSpaceDE/>
              <w:autoSpaceDN/>
              <w:bidi w:val="0"/>
              <w:adjustRightInd/>
              <w:snapToGrid/>
              <w:spacing w:line="360" w:lineRule="exact"/>
              <w:textAlignment w:val="auto"/>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53E72D0B">
            <w:pPr>
              <w:keepNext w:val="0"/>
              <w:keepLines w:val="0"/>
              <w:pageBreakBefore w:val="0"/>
              <w:widowControl w:val="0"/>
              <w:tabs>
                <w:tab w:val="left" w:pos="3045"/>
                <w:tab w:val="center" w:pos="3199"/>
              </w:tabs>
              <w:kinsoku/>
              <w:wordWrap/>
              <w:overflowPunct/>
              <w:topLinePunct w:val="0"/>
              <w:autoSpaceDE/>
              <w:autoSpaceDN/>
              <w:bidi w:val="0"/>
              <w:adjustRightInd/>
              <w:snapToGrid/>
              <w:spacing w:line="360" w:lineRule="exact"/>
              <w:textAlignment w:val="auto"/>
              <w:rPr>
                <w:bCs/>
                <w:iCs/>
                <w:color w:val="000000"/>
                <w:sz w:val="24"/>
              </w:rPr>
            </w:pPr>
            <w:r>
              <w:rPr>
                <w:bCs/>
                <w:iCs/>
                <w:color w:val="000000"/>
                <w:kern w:val="0"/>
                <w:sz w:val="24"/>
              </w:rPr>
              <w:t>□</w:t>
            </w:r>
            <w:r>
              <w:rPr>
                <w:rFonts w:hAnsi="宋体"/>
                <w:kern w:val="0"/>
                <w:sz w:val="24"/>
              </w:rPr>
              <w:t>现场参观</w:t>
            </w:r>
            <w:r>
              <w:rPr>
                <w:rFonts w:hint="eastAsia" w:hAnsi="宋体"/>
                <w:kern w:val="0"/>
                <w:sz w:val="24"/>
                <w:lang w:val="en-US" w:eastAsia="zh-CN"/>
              </w:rPr>
              <w:t xml:space="preserve">             </w:t>
            </w: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14:paraId="1E66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1950" w:type="dxa"/>
            <w:tcBorders>
              <w:top w:val="single" w:color="auto" w:sz="4" w:space="0"/>
              <w:left w:val="single" w:color="auto" w:sz="4" w:space="0"/>
              <w:right w:val="single" w:color="auto" w:sz="4" w:space="0"/>
            </w:tcBorders>
            <w:noWrap w:val="0"/>
            <w:vAlign w:val="top"/>
          </w:tcPr>
          <w:p w14:paraId="213E8F19">
            <w:pPr>
              <w:spacing w:line="420" w:lineRule="exact"/>
              <w:rPr>
                <w:rFonts w:hAnsi="宋体"/>
                <w:bCs/>
                <w:iCs/>
                <w:color w:val="000000"/>
                <w:kern w:val="0"/>
                <w:sz w:val="24"/>
              </w:rPr>
            </w:pPr>
            <w:r>
              <w:rPr>
                <w:rFonts w:hAnsi="宋体"/>
                <w:bCs/>
                <w:iCs/>
                <w:color w:val="000000"/>
                <w:kern w:val="0"/>
                <w:sz w:val="24"/>
              </w:rPr>
              <w:t>时间</w:t>
            </w:r>
            <w:r>
              <w:rPr>
                <w:rFonts w:hint="eastAsia" w:hAnsi="宋体"/>
                <w:bCs/>
                <w:iCs/>
                <w:color w:val="000000"/>
                <w:kern w:val="0"/>
                <w:sz w:val="24"/>
                <w:lang w:val="en-US" w:eastAsia="zh-CN"/>
              </w:rPr>
              <w:t>/</w:t>
            </w:r>
            <w:r>
              <w:rPr>
                <w:rFonts w:hAnsi="宋体"/>
                <w:bCs/>
                <w:iCs/>
                <w:color w:val="000000"/>
                <w:kern w:val="0"/>
                <w:sz w:val="24"/>
              </w:rPr>
              <w:t>参与单位名称及人员姓名</w:t>
            </w:r>
          </w:p>
          <w:p w14:paraId="28C9EA67">
            <w:pPr>
              <w:spacing w:line="420" w:lineRule="exact"/>
              <w:rPr>
                <w:bCs/>
                <w:iCs/>
                <w:color w:val="000000"/>
                <w:kern w:val="0"/>
                <w:sz w:val="24"/>
              </w:rPr>
            </w:pPr>
          </w:p>
        </w:tc>
        <w:tc>
          <w:tcPr>
            <w:tcW w:w="7434" w:type="dxa"/>
            <w:tcBorders>
              <w:top w:val="single" w:color="auto" w:sz="4" w:space="0"/>
              <w:left w:val="single" w:color="auto" w:sz="4" w:space="0"/>
              <w:bottom w:val="single" w:color="auto" w:sz="4" w:space="0"/>
              <w:right w:val="single" w:color="auto" w:sz="4" w:space="0"/>
            </w:tcBorders>
            <w:noWrap w:val="0"/>
            <w:vAlign w:val="top"/>
          </w:tcPr>
          <w:p w14:paraId="258962BC">
            <w:pPr>
              <w:keepNext w:val="0"/>
              <w:keepLines w:val="0"/>
              <w:pageBreakBefore w:val="0"/>
              <w:widowControl w:val="0"/>
              <w:tabs>
                <w:tab w:val="left" w:pos="1525"/>
                <w:tab w:val="center" w:pos="415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iCs/>
                <w:color w:val="000000"/>
                <w:sz w:val="24"/>
                <w:lang w:val="en-US" w:eastAsia="zh-CN"/>
              </w:rPr>
            </w:pPr>
            <w:r>
              <w:rPr>
                <w:rFonts w:hint="eastAsia" w:ascii="宋体" w:hAnsi="宋体" w:eastAsia="宋体" w:cs="宋体"/>
                <w:bCs/>
                <w:iCs/>
                <w:color w:val="000000"/>
                <w:sz w:val="24"/>
              </w:rPr>
              <w:t>202</w:t>
            </w:r>
            <w:r>
              <w:rPr>
                <w:rFonts w:hint="eastAsia" w:ascii="宋体" w:hAnsi="宋体" w:eastAsia="宋体" w:cs="宋体"/>
                <w:bCs/>
                <w:iCs/>
                <w:color w:val="000000"/>
                <w:sz w:val="24"/>
                <w:lang w:val="en-US" w:eastAsia="zh-CN"/>
              </w:rPr>
              <w:t>5</w:t>
            </w:r>
            <w:r>
              <w:rPr>
                <w:rFonts w:hint="eastAsia" w:ascii="宋体" w:hAnsi="宋体" w:eastAsia="宋体" w:cs="宋体"/>
                <w:bCs/>
                <w:iCs/>
                <w:color w:val="000000"/>
                <w:sz w:val="24"/>
              </w:rPr>
              <w:t>年</w:t>
            </w:r>
            <w:r>
              <w:rPr>
                <w:rFonts w:hint="eastAsia" w:ascii="宋体" w:hAnsi="宋体" w:eastAsia="宋体" w:cs="宋体"/>
                <w:bCs/>
                <w:iCs/>
                <w:color w:val="000000"/>
                <w:sz w:val="24"/>
                <w:lang w:val="en-US" w:eastAsia="zh-CN"/>
              </w:rPr>
              <w:t>7</w:t>
            </w:r>
            <w:r>
              <w:rPr>
                <w:rFonts w:hint="eastAsia" w:ascii="宋体" w:hAnsi="宋体" w:eastAsia="宋体" w:cs="宋体"/>
                <w:bCs/>
                <w:iCs/>
                <w:color w:val="000000"/>
                <w:sz w:val="24"/>
              </w:rPr>
              <w:t>月</w:t>
            </w:r>
            <w:r>
              <w:rPr>
                <w:rFonts w:hint="eastAsia" w:ascii="宋体" w:hAnsi="宋体" w:eastAsia="宋体" w:cs="宋体"/>
                <w:bCs/>
                <w:iCs/>
                <w:color w:val="000000"/>
                <w:sz w:val="24"/>
                <w:lang w:val="en-US" w:eastAsia="zh-CN"/>
              </w:rPr>
              <w:t>10</w:t>
            </w:r>
            <w:r>
              <w:rPr>
                <w:rFonts w:hint="eastAsia" w:ascii="宋体" w:hAnsi="宋体" w:eastAsia="宋体" w:cs="宋体"/>
                <w:bCs/>
                <w:iCs/>
                <w:color w:val="000000"/>
                <w:sz w:val="24"/>
              </w:rPr>
              <w:t>日 (周</w:t>
            </w:r>
            <w:r>
              <w:rPr>
                <w:rFonts w:hint="eastAsia" w:ascii="宋体" w:hAnsi="宋体" w:eastAsia="宋体" w:cs="宋体"/>
                <w:bCs/>
                <w:iCs/>
                <w:color w:val="000000"/>
                <w:sz w:val="24"/>
                <w:lang w:val="en-US" w:eastAsia="zh-CN"/>
              </w:rPr>
              <w:t>四</w:t>
            </w:r>
            <w:r>
              <w:rPr>
                <w:rFonts w:hint="eastAsia" w:ascii="宋体" w:hAnsi="宋体" w:eastAsia="宋体" w:cs="宋体"/>
                <w:bCs/>
                <w:iCs/>
                <w:color w:val="000000"/>
                <w:sz w:val="24"/>
              </w:rPr>
              <w:t>)</w:t>
            </w:r>
            <w:r>
              <w:rPr>
                <w:rFonts w:hint="eastAsia" w:ascii="宋体" w:hAnsi="宋体" w:eastAsia="宋体" w:cs="宋体"/>
                <w:bCs/>
                <w:iCs/>
                <w:color w:val="000000"/>
                <w:sz w:val="24"/>
                <w:lang w:val="en-US" w:eastAsia="zh-CN"/>
              </w:rPr>
              <w:t>上午10点30分-11点30分</w:t>
            </w:r>
          </w:p>
          <w:p w14:paraId="02C420E1">
            <w:pPr>
              <w:keepNext w:val="0"/>
              <w:keepLines w:val="0"/>
              <w:pageBreakBefore w:val="0"/>
              <w:widowControl w:val="0"/>
              <w:tabs>
                <w:tab w:val="left" w:pos="1525"/>
                <w:tab w:val="center" w:pos="415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iCs/>
                <w:color w:val="000000"/>
                <w:sz w:val="24"/>
                <w:lang w:val="en-US" w:eastAsia="zh-CN"/>
              </w:rPr>
            </w:pPr>
            <w:r>
              <w:rPr>
                <w:rFonts w:hint="eastAsia" w:ascii="宋体" w:hAnsi="宋体" w:eastAsia="宋体" w:cs="宋体"/>
                <w:bCs/>
                <w:iCs/>
                <w:color w:val="000000"/>
                <w:sz w:val="24"/>
                <w:lang w:val="en-US" w:eastAsia="zh-CN"/>
              </w:rPr>
              <w:t>兴全基金-邓荃文，富国基金-李世伟</w:t>
            </w:r>
          </w:p>
          <w:p w14:paraId="43093E53">
            <w:pPr>
              <w:keepNext w:val="0"/>
              <w:keepLines w:val="0"/>
              <w:pageBreakBefore w:val="0"/>
              <w:widowControl w:val="0"/>
              <w:tabs>
                <w:tab w:val="left" w:pos="1525"/>
                <w:tab w:val="center" w:pos="4153"/>
              </w:tabs>
              <w:kinsoku/>
              <w:wordWrap/>
              <w:overflowPunct/>
              <w:topLinePunct w:val="0"/>
              <w:autoSpaceDE/>
              <w:autoSpaceDN/>
              <w:bidi w:val="0"/>
              <w:adjustRightInd/>
              <w:snapToGrid/>
              <w:spacing w:line="300" w:lineRule="exact"/>
              <w:jc w:val="left"/>
              <w:textAlignment w:val="auto"/>
              <w:rPr>
                <w:rFonts w:hint="eastAsia" w:ascii="宋体" w:hAnsi="宋体" w:eastAsia="宋体" w:cs="宋体"/>
                <w:bCs/>
                <w:iCs/>
                <w:color w:val="000000"/>
                <w:sz w:val="24"/>
                <w:lang w:val="en-US" w:eastAsia="zh-CN"/>
              </w:rPr>
            </w:pPr>
            <w:r>
              <w:rPr>
                <w:rFonts w:hint="eastAsia" w:ascii="宋体" w:hAnsi="宋体" w:eastAsia="宋体" w:cs="宋体"/>
                <w:bCs/>
                <w:iCs/>
                <w:color w:val="000000"/>
                <w:sz w:val="24"/>
              </w:rPr>
              <w:t>202</w:t>
            </w:r>
            <w:r>
              <w:rPr>
                <w:rFonts w:hint="eastAsia" w:ascii="宋体" w:hAnsi="宋体" w:eastAsia="宋体" w:cs="宋体"/>
                <w:bCs/>
                <w:iCs/>
                <w:color w:val="000000"/>
                <w:sz w:val="24"/>
                <w:lang w:val="en-US" w:eastAsia="zh-CN"/>
              </w:rPr>
              <w:t>5</w:t>
            </w:r>
            <w:r>
              <w:rPr>
                <w:rFonts w:hint="eastAsia" w:ascii="宋体" w:hAnsi="宋体" w:eastAsia="宋体" w:cs="宋体"/>
                <w:bCs/>
                <w:iCs/>
                <w:color w:val="000000"/>
                <w:sz w:val="24"/>
              </w:rPr>
              <w:t>年</w:t>
            </w:r>
            <w:r>
              <w:rPr>
                <w:rFonts w:hint="eastAsia" w:ascii="宋体" w:hAnsi="宋体" w:eastAsia="宋体" w:cs="宋体"/>
                <w:bCs/>
                <w:iCs/>
                <w:color w:val="000000"/>
                <w:sz w:val="24"/>
                <w:lang w:val="en-US" w:eastAsia="zh-CN"/>
              </w:rPr>
              <w:t>7</w:t>
            </w:r>
            <w:r>
              <w:rPr>
                <w:rFonts w:hint="eastAsia" w:ascii="宋体" w:hAnsi="宋体" w:eastAsia="宋体" w:cs="宋体"/>
                <w:bCs/>
                <w:iCs/>
                <w:color w:val="000000"/>
                <w:sz w:val="24"/>
              </w:rPr>
              <w:t>月</w:t>
            </w:r>
            <w:r>
              <w:rPr>
                <w:rFonts w:hint="eastAsia" w:ascii="宋体" w:hAnsi="宋体" w:eastAsia="宋体" w:cs="宋体"/>
                <w:bCs/>
                <w:iCs/>
                <w:color w:val="000000"/>
                <w:sz w:val="24"/>
                <w:lang w:val="en-US" w:eastAsia="zh-CN"/>
              </w:rPr>
              <w:t>10</w:t>
            </w:r>
            <w:r>
              <w:rPr>
                <w:rFonts w:hint="eastAsia" w:ascii="宋体" w:hAnsi="宋体" w:eastAsia="宋体" w:cs="宋体"/>
                <w:bCs/>
                <w:iCs/>
                <w:color w:val="000000"/>
                <w:sz w:val="24"/>
              </w:rPr>
              <w:t>日 (周</w:t>
            </w:r>
            <w:r>
              <w:rPr>
                <w:rFonts w:hint="eastAsia" w:ascii="宋体" w:hAnsi="宋体" w:eastAsia="宋体" w:cs="宋体"/>
                <w:bCs/>
                <w:iCs/>
                <w:color w:val="000000"/>
                <w:sz w:val="24"/>
                <w:lang w:val="en-US" w:eastAsia="zh-CN"/>
              </w:rPr>
              <w:t>四</w:t>
            </w:r>
            <w:r>
              <w:rPr>
                <w:rFonts w:hint="eastAsia" w:ascii="宋体" w:hAnsi="宋体" w:eastAsia="宋体" w:cs="宋体"/>
                <w:bCs/>
                <w:iCs/>
                <w:color w:val="000000"/>
                <w:sz w:val="24"/>
              </w:rPr>
              <w:t>)</w:t>
            </w:r>
            <w:r>
              <w:rPr>
                <w:rFonts w:hint="eastAsia" w:ascii="宋体" w:hAnsi="宋体" w:eastAsia="宋体" w:cs="宋体"/>
                <w:bCs/>
                <w:iCs/>
                <w:color w:val="000000"/>
                <w:sz w:val="24"/>
                <w:lang w:val="en-US" w:eastAsia="zh-CN"/>
              </w:rPr>
              <w:t>下午2点半-4点</w:t>
            </w:r>
          </w:p>
          <w:p w14:paraId="0B2A367D">
            <w:pPr>
              <w:keepNext w:val="0"/>
              <w:keepLines w:val="0"/>
              <w:pageBreakBefore w:val="0"/>
              <w:widowControl w:val="0"/>
              <w:tabs>
                <w:tab w:val="left" w:pos="1525"/>
                <w:tab w:val="center" w:pos="4153"/>
              </w:tabs>
              <w:kinsoku/>
              <w:wordWrap/>
              <w:overflowPunct/>
              <w:topLinePunct w:val="0"/>
              <w:autoSpaceDE/>
              <w:autoSpaceDN/>
              <w:bidi w:val="0"/>
              <w:adjustRightInd/>
              <w:snapToGrid/>
              <w:spacing w:line="300" w:lineRule="exact"/>
              <w:jc w:val="left"/>
              <w:textAlignment w:val="auto"/>
              <w:rPr>
                <w:rFonts w:hint="default" w:eastAsia="宋体"/>
                <w:bCs/>
                <w:iCs/>
                <w:color w:val="000000"/>
                <w:sz w:val="24"/>
                <w:lang w:val="en-US" w:eastAsia="zh-CN"/>
              </w:rPr>
            </w:pPr>
            <w:r>
              <w:rPr>
                <w:rFonts w:hint="eastAsia" w:ascii="宋体" w:hAnsi="宋体" w:eastAsia="宋体" w:cs="宋体"/>
                <w:bCs/>
                <w:iCs/>
                <w:color w:val="000000"/>
                <w:sz w:val="24"/>
                <w:lang w:val="en-US" w:eastAsia="zh-CN"/>
              </w:rPr>
              <w:t>长江证券-张弛、袁志芃，永赢基金-王嘉玮，西部利得-毛振强，安信基金-郑婉玲，创金合信-吴昊洲，易方达基金-张逸，平安资管-严鹏，摩根基金-霍迪乔，民生加银-满自宏</w:t>
            </w:r>
          </w:p>
        </w:tc>
      </w:tr>
      <w:tr w14:paraId="4741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tcBorders>
              <w:top w:val="single" w:color="auto" w:sz="4" w:space="0"/>
              <w:left w:val="single" w:color="auto" w:sz="4" w:space="0"/>
              <w:bottom w:val="single" w:color="auto" w:sz="4" w:space="0"/>
              <w:right w:val="single" w:color="auto" w:sz="4" w:space="0"/>
            </w:tcBorders>
            <w:noWrap w:val="0"/>
            <w:vAlign w:val="top"/>
          </w:tcPr>
          <w:p w14:paraId="7F802379">
            <w:pPr>
              <w:spacing w:line="420" w:lineRule="exact"/>
              <w:rPr>
                <w:bCs/>
                <w:iCs/>
                <w:color w:val="000000"/>
                <w:kern w:val="0"/>
                <w:sz w:val="24"/>
              </w:rPr>
            </w:pPr>
            <w:r>
              <w:rPr>
                <w:rFonts w:hAnsi="宋体"/>
                <w:bCs/>
                <w:iCs/>
                <w:color w:val="000000"/>
                <w:kern w:val="0"/>
                <w:sz w:val="24"/>
              </w:rPr>
              <w:t>地点</w:t>
            </w:r>
          </w:p>
        </w:tc>
        <w:tc>
          <w:tcPr>
            <w:tcW w:w="7434" w:type="dxa"/>
            <w:tcBorders>
              <w:top w:val="single" w:color="auto" w:sz="4" w:space="0"/>
              <w:left w:val="single" w:color="auto" w:sz="4" w:space="0"/>
              <w:bottom w:val="single" w:color="auto" w:sz="4" w:space="0"/>
              <w:right w:val="single" w:color="auto" w:sz="4" w:space="0"/>
            </w:tcBorders>
            <w:noWrap w:val="0"/>
            <w:vAlign w:val="top"/>
          </w:tcPr>
          <w:p w14:paraId="646871A6">
            <w:pPr>
              <w:spacing w:line="420" w:lineRule="exact"/>
              <w:rPr>
                <w:rFonts w:hint="default"/>
                <w:lang w:val="en-US" w:eastAsia="zh-CN"/>
              </w:rPr>
            </w:pPr>
            <w:r>
              <w:rPr>
                <w:rFonts w:hint="eastAsia"/>
                <w:bCs/>
                <w:iCs/>
                <w:color w:val="000000"/>
                <w:sz w:val="24"/>
                <w:lang w:val="en-US" w:eastAsia="zh-CN"/>
              </w:rPr>
              <w:t>重庆市两江新区建工产业大厦20楼会议室</w:t>
            </w:r>
          </w:p>
        </w:tc>
      </w:tr>
      <w:tr w14:paraId="7D63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950" w:type="dxa"/>
            <w:tcBorders>
              <w:top w:val="single" w:color="auto" w:sz="4" w:space="0"/>
              <w:left w:val="single" w:color="auto" w:sz="4" w:space="0"/>
              <w:bottom w:val="single" w:color="auto" w:sz="4" w:space="0"/>
              <w:right w:val="single" w:color="auto" w:sz="4" w:space="0"/>
            </w:tcBorders>
            <w:noWrap w:val="0"/>
            <w:vAlign w:val="top"/>
          </w:tcPr>
          <w:p w14:paraId="66F0AE11">
            <w:pPr>
              <w:spacing w:line="420" w:lineRule="exact"/>
              <w:rPr>
                <w:bCs/>
                <w:iCs/>
                <w:color w:val="000000"/>
                <w:kern w:val="0"/>
                <w:sz w:val="24"/>
              </w:rPr>
            </w:pPr>
            <w:r>
              <w:rPr>
                <w:rFonts w:hAnsi="宋体"/>
                <w:bCs/>
                <w:iCs/>
                <w:color w:val="000000"/>
                <w:kern w:val="0"/>
                <w:sz w:val="24"/>
              </w:rPr>
              <w:t>上市公司接待人员姓名</w:t>
            </w:r>
          </w:p>
        </w:tc>
        <w:tc>
          <w:tcPr>
            <w:tcW w:w="7434" w:type="dxa"/>
            <w:tcBorders>
              <w:top w:val="single" w:color="auto" w:sz="4" w:space="0"/>
              <w:left w:val="single" w:color="auto" w:sz="4" w:space="0"/>
              <w:bottom w:val="single" w:color="auto" w:sz="4" w:space="0"/>
              <w:right w:val="single" w:color="auto" w:sz="4" w:space="0"/>
            </w:tcBorders>
            <w:noWrap w:val="0"/>
            <w:vAlign w:val="center"/>
          </w:tcPr>
          <w:p w14:paraId="7040BBA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lang w:val="en-US" w:eastAsia="zh-CN"/>
              </w:rPr>
            </w:pPr>
            <w:r>
              <w:rPr>
                <w:rFonts w:hint="eastAsia" w:ascii="宋体" w:hAnsi="宋体"/>
                <w:bCs/>
                <w:sz w:val="24"/>
                <w:lang w:val="en-US" w:eastAsia="zh-CN"/>
              </w:rPr>
              <w:t>董事会秘书窦波先生、证券事务代表吴亦非先生、证券部、市场营销中心、成本管控中心相关负责人</w:t>
            </w:r>
          </w:p>
        </w:tc>
      </w:tr>
      <w:tr w14:paraId="53D0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0" w:hRule="atLeast"/>
        </w:trPr>
        <w:tc>
          <w:tcPr>
            <w:tcW w:w="1950" w:type="dxa"/>
            <w:tcBorders>
              <w:top w:val="single" w:color="auto" w:sz="4" w:space="0"/>
              <w:left w:val="single" w:color="auto" w:sz="4" w:space="0"/>
              <w:bottom w:val="single" w:color="auto" w:sz="4" w:space="0"/>
              <w:right w:val="single" w:color="auto" w:sz="4" w:space="0"/>
            </w:tcBorders>
            <w:noWrap w:val="0"/>
            <w:vAlign w:val="top"/>
          </w:tcPr>
          <w:p w14:paraId="44F14747">
            <w:pPr>
              <w:keepNext w:val="0"/>
              <w:keepLines w:val="0"/>
              <w:pageBreakBefore w:val="0"/>
              <w:widowControl w:val="0"/>
              <w:kinsoku/>
              <w:wordWrap/>
              <w:overflowPunct/>
              <w:topLinePunct w:val="0"/>
              <w:autoSpaceDE/>
              <w:autoSpaceDN/>
              <w:bidi w:val="0"/>
              <w:adjustRightInd/>
              <w:snapToGrid/>
              <w:spacing w:line="240" w:lineRule="auto"/>
              <w:textAlignment w:val="auto"/>
              <w:rPr>
                <w:rFonts w:hAnsi="宋体"/>
                <w:bCs/>
                <w:iCs/>
                <w:color w:val="000000"/>
                <w:kern w:val="0"/>
                <w:sz w:val="24"/>
              </w:rPr>
            </w:pPr>
          </w:p>
          <w:p w14:paraId="415A485D">
            <w:pPr>
              <w:keepNext w:val="0"/>
              <w:keepLines w:val="0"/>
              <w:pageBreakBefore w:val="0"/>
              <w:widowControl w:val="0"/>
              <w:kinsoku/>
              <w:wordWrap/>
              <w:overflowPunct/>
              <w:topLinePunct w:val="0"/>
              <w:autoSpaceDE/>
              <w:autoSpaceDN/>
              <w:bidi w:val="0"/>
              <w:adjustRightInd/>
              <w:snapToGrid/>
              <w:spacing w:line="240" w:lineRule="auto"/>
              <w:textAlignment w:val="auto"/>
              <w:rPr>
                <w:rFonts w:hAnsi="宋体"/>
                <w:bCs/>
                <w:iCs/>
                <w:color w:val="000000"/>
                <w:kern w:val="0"/>
                <w:sz w:val="24"/>
              </w:rPr>
            </w:pPr>
          </w:p>
          <w:p w14:paraId="30CF824A">
            <w:pPr>
              <w:keepNext w:val="0"/>
              <w:keepLines w:val="0"/>
              <w:pageBreakBefore w:val="0"/>
              <w:widowControl w:val="0"/>
              <w:kinsoku/>
              <w:wordWrap/>
              <w:overflowPunct/>
              <w:topLinePunct w:val="0"/>
              <w:autoSpaceDE/>
              <w:autoSpaceDN/>
              <w:bidi w:val="0"/>
              <w:adjustRightInd/>
              <w:snapToGrid/>
              <w:spacing w:line="240" w:lineRule="auto"/>
              <w:textAlignment w:val="auto"/>
              <w:rPr>
                <w:rFonts w:hAnsi="宋体"/>
                <w:bCs/>
                <w:iCs/>
                <w:color w:val="000000"/>
                <w:kern w:val="0"/>
                <w:sz w:val="24"/>
              </w:rPr>
            </w:pPr>
          </w:p>
          <w:p w14:paraId="09F2B167">
            <w:pPr>
              <w:keepNext w:val="0"/>
              <w:keepLines w:val="0"/>
              <w:pageBreakBefore w:val="0"/>
              <w:widowControl w:val="0"/>
              <w:kinsoku/>
              <w:wordWrap/>
              <w:overflowPunct/>
              <w:topLinePunct w:val="0"/>
              <w:autoSpaceDE/>
              <w:autoSpaceDN/>
              <w:bidi w:val="0"/>
              <w:adjustRightInd/>
              <w:snapToGrid/>
              <w:spacing w:line="240" w:lineRule="auto"/>
              <w:textAlignment w:val="auto"/>
              <w:rPr>
                <w:rFonts w:hAnsi="宋体"/>
                <w:bCs/>
                <w:iCs/>
                <w:color w:val="000000"/>
                <w:kern w:val="0"/>
                <w:sz w:val="24"/>
              </w:rPr>
            </w:pPr>
          </w:p>
          <w:p w14:paraId="7118DFFB">
            <w:pPr>
              <w:keepNext w:val="0"/>
              <w:keepLines w:val="0"/>
              <w:pageBreakBefore w:val="0"/>
              <w:widowControl w:val="0"/>
              <w:kinsoku/>
              <w:wordWrap/>
              <w:overflowPunct/>
              <w:topLinePunct w:val="0"/>
              <w:autoSpaceDE/>
              <w:autoSpaceDN/>
              <w:bidi w:val="0"/>
              <w:adjustRightInd/>
              <w:snapToGrid/>
              <w:spacing w:line="240" w:lineRule="auto"/>
              <w:textAlignment w:val="auto"/>
              <w:rPr>
                <w:rFonts w:hAnsi="宋体"/>
                <w:bCs/>
                <w:iCs/>
                <w:color w:val="000000"/>
                <w:kern w:val="0"/>
                <w:sz w:val="24"/>
              </w:rPr>
            </w:pPr>
          </w:p>
          <w:p w14:paraId="1F9CD7BB">
            <w:pPr>
              <w:keepNext w:val="0"/>
              <w:keepLines w:val="0"/>
              <w:pageBreakBefore w:val="0"/>
              <w:widowControl w:val="0"/>
              <w:kinsoku/>
              <w:wordWrap/>
              <w:overflowPunct/>
              <w:topLinePunct w:val="0"/>
              <w:autoSpaceDE/>
              <w:autoSpaceDN/>
              <w:bidi w:val="0"/>
              <w:adjustRightInd/>
              <w:snapToGrid/>
              <w:spacing w:line="240" w:lineRule="auto"/>
              <w:textAlignment w:val="auto"/>
              <w:rPr>
                <w:rFonts w:hAnsi="宋体"/>
                <w:bCs/>
                <w:iCs/>
                <w:color w:val="000000"/>
                <w:kern w:val="0"/>
                <w:sz w:val="24"/>
              </w:rPr>
            </w:pPr>
          </w:p>
          <w:p w14:paraId="6584C26E">
            <w:pPr>
              <w:keepNext w:val="0"/>
              <w:keepLines w:val="0"/>
              <w:pageBreakBefore w:val="0"/>
              <w:widowControl w:val="0"/>
              <w:kinsoku/>
              <w:wordWrap/>
              <w:overflowPunct/>
              <w:topLinePunct w:val="0"/>
              <w:autoSpaceDE/>
              <w:autoSpaceDN/>
              <w:bidi w:val="0"/>
              <w:adjustRightInd/>
              <w:snapToGrid/>
              <w:spacing w:line="240" w:lineRule="auto"/>
              <w:textAlignment w:val="auto"/>
              <w:rPr>
                <w:rFonts w:hAnsi="宋体"/>
                <w:bCs/>
                <w:iCs/>
                <w:color w:val="000000"/>
                <w:kern w:val="0"/>
                <w:sz w:val="24"/>
              </w:rPr>
            </w:pPr>
          </w:p>
          <w:p w14:paraId="716654F2">
            <w:pPr>
              <w:keepNext w:val="0"/>
              <w:keepLines w:val="0"/>
              <w:pageBreakBefore w:val="0"/>
              <w:widowControl w:val="0"/>
              <w:kinsoku/>
              <w:wordWrap/>
              <w:overflowPunct/>
              <w:topLinePunct w:val="0"/>
              <w:autoSpaceDE/>
              <w:autoSpaceDN/>
              <w:bidi w:val="0"/>
              <w:adjustRightInd/>
              <w:snapToGrid/>
              <w:spacing w:line="240" w:lineRule="auto"/>
              <w:textAlignment w:val="auto"/>
              <w:rPr>
                <w:rFonts w:hAnsi="宋体"/>
                <w:bCs/>
                <w:iCs/>
                <w:color w:val="000000"/>
                <w:kern w:val="0"/>
                <w:sz w:val="24"/>
              </w:rPr>
            </w:pPr>
          </w:p>
          <w:p w14:paraId="6EC5C962">
            <w:pPr>
              <w:keepNext w:val="0"/>
              <w:keepLines w:val="0"/>
              <w:pageBreakBefore w:val="0"/>
              <w:widowControl w:val="0"/>
              <w:kinsoku/>
              <w:wordWrap/>
              <w:overflowPunct/>
              <w:topLinePunct w:val="0"/>
              <w:autoSpaceDE/>
              <w:autoSpaceDN/>
              <w:bidi w:val="0"/>
              <w:adjustRightInd/>
              <w:snapToGrid/>
              <w:spacing w:line="240" w:lineRule="auto"/>
              <w:textAlignment w:val="auto"/>
              <w:rPr>
                <w:bCs/>
                <w:iCs/>
                <w:color w:val="000000"/>
                <w:kern w:val="0"/>
                <w:sz w:val="24"/>
              </w:rPr>
            </w:pPr>
            <w:r>
              <w:rPr>
                <w:rFonts w:hAnsi="宋体"/>
                <w:bCs/>
                <w:iCs/>
                <w:color w:val="000000"/>
                <w:kern w:val="0"/>
                <w:sz w:val="24"/>
              </w:rPr>
              <w:t>投资者关系活动主要内容介绍</w:t>
            </w:r>
          </w:p>
          <w:p w14:paraId="132D6B14">
            <w:pPr>
              <w:spacing w:line="420" w:lineRule="exact"/>
              <w:rPr>
                <w:rFonts w:hAnsi="宋体"/>
                <w:bCs/>
                <w:iCs/>
                <w:color w:val="000000"/>
                <w:kern w:val="0"/>
                <w:sz w:val="24"/>
              </w:rPr>
            </w:pPr>
          </w:p>
        </w:tc>
        <w:tc>
          <w:tcPr>
            <w:tcW w:w="7434" w:type="dxa"/>
            <w:tcBorders>
              <w:top w:val="single" w:color="auto" w:sz="4" w:space="0"/>
              <w:left w:val="single" w:color="auto" w:sz="4" w:space="0"/>
              <w:bottom w:val="single" w:color="auto" w:sz="4" w:space="0"/>
              <w:right w:val="single" w:color="auto" w:sz="4" w:space="0"/>
            </w:tcBorders>
            <w:noWrap w:val="0"/>
            <w:vAlign w:val="center"/>
          </w:tcPr>
          <w:p w14:paraId="6F84F050">
            <w:pPr>
              <w:pStyle w:val="15"/>
              <w:ind w:firstLine="482" w:firstLineChars="200"/>
              <w:rPr>
                <w:rFonts w:ascii="宋体" w:hAnsi="宋体" w:cs="宋体"/>
                <w:b/>
                <w:bCs/>
                <w:sz w:val="24"/>
                <w:szCs w:val="24"/>
              </w:rPr>
            </w:pPr>
            <w:r>
              <w:rPr>
                <w:rFonts w:hint="eastAsia" w:ascii="宋体" w:hAnsi="宋体" w:cs="宋体"/>
                <w:b/>
                <w:bCs/>
                <w:sz w:val="24"/>
                <w:szCs w:val="24"/>
                <w:lang w:val="en-US" w:eastAsia="zh-CN"/>
              </w:rPr>
              <w:t>当日2场</w:t>
            </w:r>
            <w:r>
              <w:rPr>
                <w:rFonts w:hint="eastAsia" w:ascii="宋体" w:hAnsi="宋体" w:cs="宋体"/>
                <w:b/>
                <w:bCs/>
                <w:sz w:val="24"/>
                <w:szCs w:val="24"/>
              </w:rPr>
              <w:t>交流的主要问题及公司回复要点：</w:t>
            </w:r>
          </w:p>
          <w:p w14:paraId="5A82DA7F">
            <w:pPr>
              <w:keepNext w:val="0"/>
              <w:keepLines w:val="0"/>
              <w:pageBreakBefore w:val="0"/>
              <w:widowControl w:val="0"/>
              <w:tabs>
                <w:tab w:val="left" w:pos="1525"/>
                <w:tab w:val="center" w:pos="4153"/>
              </w:tabs>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Times New Roman"/>
                <w:b/>
                <w:bCs w:val="0"/>
                <w:kern w:val="2"/>
                <w:sz w:val="24"/>
                <w:szCs w:val="24"/>
                <w:lang w:val="en-US" w:eastAsia="zh-CN" w:bidi="ar-SA"/>
              </w:rPr>
            </w:pPr>
            <w:r>
              <w:rPr>
                <w:rFonts w:hint="eastAsia" w:ascii="宋体" w:hAnsi="宋体" w:eastAsia="宋体" w:cs="Times New Roman"/>
                <w:b/>
                <w:bCs w:val="0"/>
                <w:kern w:val="2"/>
                <w:sz w:val="24"/>
                <w:szCs w:val="24"/>
                <w:lang w:val="en-US" w:eastAsia="zh-CN" w:bidi="ar-SA"/>
              </w:rPr>
              <w:t>1.公司上半年整体经营情况？全年经营情况展望？</w:t>
            </w:r>
          </w:p>
          <w:p w14:paraId="38F9BEA1">
            <w:pPr>
              <w:pStyle w:val="2"/>
              <w:keepNext/>
              <w:keepLines/>
              <w:pageBreakBefore w:val="0"/>
              <w:widowControl w:val="0"/>
              <w:kinsoku/>
              <w:wordWrap/>
              <w:overflowPunct/>
              <w:topLinePunct w:val="0"/>
              <w:autoSpaceDE/>
              <w:autoSpaceDN/>
              <w:bidi w:val="0"/>
              <w:adjustRightInd/>
              <w:snapToGrid/>
              <w:spacing w:before="0" w:after="0" w:line="500" w:lineRule="exact"/>
              <w:ind w:firstLine="480" w:firstLineChars="200"/>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当前公司上下正全力以赴，积极应对各种挑战，努力推动各项业务的稳步发展，关于公司2025年上半年经营情况请届时关注公司披露的</w:t>
            </w:r>
            <w:r>
              <w:rPr>
                <w:rFonts w:hint="eastAsia" w:ascii="宋体" w:hAnsi="宋体" w:cs="宋体"/>
                <w:b w:val="0"/>
                <w:bCs w:val="0"/>
                <w:kern w:val="2"/>
                <w:sz w:val="24"/>
                <w:szCs w:val="24"/>
                <w:shd w:val="clear" w:color="auto" w:fill="FFFFFF"/>
                <w:lang w:val="en-US" w:eastAsia="zh-CN" w:bidi="ar-SA"/>
              </w:rPr>
              <w:t>公告</w:t>
            </w:r>
            <w:r>
              <w:rPr>
                <w:rFonts w:hint="eastAsia" w:ascii="宋体" w:hAnsi="宋体" w:eastAsia="宋体" w:cs="宋体"/>
                <w:b w:val="0"/>
                <w:bCs w:val="0"/>
                <w:kern w:val="2"/>
                <w:sz w:val="24"/>
                <w:szCs w:val="24"/>
                <w:shd w:val="clear" w:color="auto" w:fill="FFFFFF"/>
                <w:lang w:val="en-US" w:eastAsia="zh-CN" w:bidi="ar-SA"/>
              </w:rPr>
              <w:t>。</w:t>
            </w:r>
          </w:p>
          <w:p w14:paraId="700DCF6D">
            <w:pPr>
              <w:pStyle w:val="2"/>
              <w:keepNext/>
              <w:keepLines/>
              <w:pageBreakBefore w:val="0"/>
              <w:widowControl w:val="0"/>
              <w:kinsoku/>
              <w:wordWrap/>
              <w:overflowPunct/>
              <w:topLinePunct w:val="0"/>
              <w:autoSpaceDE/>
              <w:autoSpaceDN/>
              <w:bidi w:val="0"/>
              <w:adjustRightInd/>
              <w:snapToGrid/>
              <w:spacing w:before="0" w:after="0" w:line="500" w:lineRule="exact"/>
              <w:ind w:firstLine="480" w:firstLineChars="200"/>
              <w:textAlignment w:val="auto"/>
              <w:rPr>
                <w:rFonts w:hint="default"/>
                <w:lang w:val="en-US" w:eastAsia="zh-CN"/>
              </w:rPr>
            </w:pPr>
            <w:r>
              <w:rPr>
                <w:rFonts w:hint="eastAsia" w:ascii="宋体" w:hAnsi="宋体" w:eastAsia="宋体" w:cs="宋体"/>
                <w:b w:val="0"/>
                <w:bCs w:val="0"/>
                <w:kern w:val="2"/>
                <w:sz w:val="24"/>
                <w:szCs w:val="24"/>
                <w:shd w:val="clear" w:color="auto" w:fill="FFFFFF"/>
                <w:lang w:val="en-US" w:eastAsia="zh-CN" w:bidi="ar-SA"/>
              </w:rPr>
              <w:t>2025年，公司以稳住现有主业为主，同时会积极关注市场环境的变化和新领域的拓展机会。</w:t>
            </w:r>
            <w:r>
              <w:rPr>
                <w:rFonts w:hint="default" w:ascii="宋体" w:hAnsi="宋体" w:eastAsia="宋体" w:cs="宋体"/>
                <w:b w:val="0"/>
                <w:bCs w:val="0"/>
                <w:kern w:val="2"/>
                <w:sz w:val="24"/>
                <w:szCs w:val="24"/>
                <w:shd w:val="clear" w:color="auto" w:fill="FFFFFF"/>
                <w:lang w:val="en-US" w:eastAsia="zh-CN" w:bidi="ar-SA"/>
              </w:rPr>
              <w:t>主动把握基础设施建设、水利工程、新型城镇化、城市更新改造等细分领域的机遇，统筹</w:t>
            </w:r>
            <w:r>
              <w:rPr>
                <w:rFonts w:hint="eastAsia" w:ascii="宋体" w:hAnsi="宋体" w:eastAsia="宋体" w:cs="宋体"/>
                <w:b w:val="0"/>
                <w:bCs w:val="0"/>
                <w:kern w:val="2"/>
                <w:sz w:val="24"/>
                <w:szCs w:val="24"/>
                <w:shd w:val="clear" w:color="auto" w:fill="FFFFFF"/>
                <w:lang w:val="en-US" w:eastAsia="zh-CN" w:bidi="ar-SA"/>
              </w:rPr>
              <w:t>市</w:t>
            </w:r>
            <w:r>
              <w:rPr>
                <w:rFonts w:hint="default" w:ascii="宋体" w:hAnsi="宋体" w:eastAsia="宋体" w:cs="宋体"/>
                <w:b w:val="0"/>
                <w:bCs w:val="0"/>
                <w:kern w:val="2"/>
                <w:sz w:val="24"/>
                <w:szCs w:val="24"/>
                <w:shd w:val="clear" w:color="auto" w:fill="FFFFFF"/>
                <w:lang w:val="en-US" w:eastAsia="zh-CN" w:bidi="ar-SA"/>
              </w:rPr>
              <w:t>内外经营资源，积极承揽优质订单。</w:t>
            </w:r>
          </w:p>
          <w:p w14:paraId="6B554ED4">
            <w:pPr>
              <w:pStyle w:val="2"/>
              <w:keepNext/>
              <w:keepLines/>
              <w:pageBreakBefore w:val="0"/>
              <w:widowControl w:val="0"/>
              <w:kinsoku/>
              <w:wordWrap/>
              <w:overflowPunct/>
              <w:topLinePunct w:val="0"/>
              <w:autoSpaceDE/>
              <w:autoSpaceDN/>
              <w:bidi w:val="0"/>
              <w:adjustRightInd/>
              <w:snapToGrid/>
              <w:spacing w:before="0" w:after="0" w:line="500" w:lineRule="exact"/>
              <w:ind w:firstLine="482" w:firstLineChars="200"/>
              <w:textAlignment w:val="auto"/>
              <w:rPr>
                <w:rFonts w:hint="eastAsia" w:ascii="宋体" w:hAnsi="宋体" w:eastAsia="宋体" w:cs="Times New Roman"/>
                <w:b/>
                <w:bCs w:val="0"/>
                <w:kern w:val="2"/>
                <w:sz w:val="24"/>
                <w:szCs w:val="24"/>
                <w:highlight w:val="none"/>
                <w:lang w:val="en-US" w:eastAsia="zh-CN" w:bidi="ar-SA"/>
              </w:rPr>
            </w:pPr>
            <w:r>
              <w:rPr>
                <w:rFonts w:hint="eastAsia" w:ascii="Times New Roman" w:hAnsi="Times New Roman" w:eastAsia="宋体" w:cs="Times New Roman"/>
                <w:sz w:val="24"/>
                <w:szCs w:val="28"/>
                <w:lang w:val="en-US" w:eastAsia="zh-CN"/>
              </w:rPr>
              <w:t>2</w:t>
            </w:r>
            <w:r>
              <w:rPr>
                <w:rFonts w:hint="eastAsia" w:ascii="宋体" w:hAnsi="宋体" w:cs="Times New Roman"/>
                <w:b/>
                <w:bCs w:val="0"/>
                <w:kern w:val="2"/>
                <w:sz w:val="24"/>
                <w:szCs w:val="24"/>
                <w:highlight w:val="none"/>
                <w:lang w:val="en-US" w:eastAsia="zh-CN" w:bidi="ar-SA"/>
              </w:rPr>
              <w:t>.</w:t>
            </w:r>
            <w:r>
              <w:rPr>
                <w:rFonts w:hint="eastAsia" w:ascii="宋体" w:hAnsi="宋体" w:eastAsia="宋体" w:cs="Times New Roman"/>
                <w:b/>
                <w:bCs w:val="0"/>
                <w:kern w:val="2"/>
                <w:sz w:val="24"/>
                <w:szCs w:val="24"/>
                <w:highlight w:val="none"/>
                <w:lang w:val="en-US" w:eastAsia="zh-CN" w:bidi="ar-SA"/>
              </w:rPr>
              <w:t>区域内企业竞争情况？</w:t>
            </w:r>
          </w:p>
          <w:p w14:paraId="5729180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cs="宋体"/>
                <w:b w:val="0"/>
                <w:bCs w:val="0"/>
                <w:kern w:val="2"/>
                <w:sz w:val="24"/>
                <w:szCs w:val="24"/>
                <w:shd w:val="clear" w:color="auto" w:fill="FFFFFF"/>
                <w:lang w:val="en-US" w:eastAsia="zh-CN" w:bidi="ar-SA"/>
              </w:rPr>
              <w:t>在</w:t>
            </w:r>
            <w:r>
              <w:rPr>
                <w:rFonts w:hint="eastAsia" w:ascii="宋体" w:hAnsi="宋体" w:eastAsia="宋体" w:cs="宋体"/>
                <w:b w:val="0"/>
                <w:bCs w:val="0"/>
                <w:kern w:val="2"/>
                <w:sz w:val="24"/>
                <w:szCs w:val="24"/>
                <w:shd w:val="clear" w:color="auto" w:fill="FFFFFF"/>
                <w:lang w:val="en-US" w:eastAsia="zh-CN" w:bidi="ar-SA"/>
              </w:rPr>
              <w:t>充分竞争的</w:t>
            </w:r>
            <w:r>
              <w:rPr>
                <w:rFonts w:hint="eastAsia" w:ascii="宋体" w:hAnsi="宋体" w:cs="宋体"/>
                <w:b w:val="0"/>
                <w:bCs w:val="0"/>
                <w:kern w:val="2"/>
                <w:sz w:val="24"/>
                <w:szCs w:val="24"/>
                <w:shd w:val="clear" w:color="auto" w:fill="FFFFFF"/>
                <w:lang w:val="en-US" w:eastAsia="zh-CN" w:bidi="ar-SA"/>
              </w:rPr>
              <w:t>建筑</w:t>
            </w:r>
            <w:r>
              <w:rPr>
                <w:rFonts w:hint="eastAsia" w:ascii="宋体" w:hAnsi="宋体" w:eastAsia="宋体" w:cs="宋体"/>
                <w:b w:val="0"/>
                <w:bCs w:val="0"/>
                <w:kern w:val="2"/>
                <w:sz w:val="24"/>
                <w:szCs w:val="24"/>
                <w:shd w:val="clear" w:color="auto" w:fill="FFFFFF"/>
                <w:lang w:val="en-US" w:eastAsia="zh-CN" w:bidi="ar-SA"/>
              </w:rPr>
              <w:t>市场</w:t>
            </w:r>
            <w:r>
              <w:rPr>
                <w:rFonts w:hint="eastAsia" w:ascii="宋体" w:hAnsi="宋体" w:cs="宋体"/>
                <w:b w:val="0"/>
                <w:bCs w:val="0"/>
                <w:kern w:val="2"/>
                <w:sz w:val="24"/>
                <w:szCs w:val="24"/>
                <w:shd w:val="clear" w:color="auto" w:fill="FFFFFF"/>
                <w:lang w:val="en-US" w:eastAsia="zh-CN" w:bidi="ar-SA"/>
              </w:rPr>
              <w:t>中</w:t>
            </w:r>
            <w:r>
              <w:rPr>
                <w:rFonts w:hint="eastAsia" w:ascii="宋体" w:hAnsi="宋体" w:eastAsia="宋体" w:cs="宋体"/>
                <w:b w:val="0"/>
                <w:bCs w:val="0"/>
                <w:kern w:val="2"/>
                <w:sz w:val="24"/>
                <w:szCs w:val="24"/>
                <w:shd w:val="clear" w:color="auto" w:fill="FFFFFF"/>
                <w:lang w:val="en-US" w:eastAsia="zh-CN" w:bidi="ar-SA"/>
              </w:rPr>
              <w:t>，政府投资项目通过公开招投标来获取。公司作为重庆市属国有重点企业，深耕重庆市场时间长，与重庆</w:t>
            </w:r>
            <w:r>
              <w:rPr>
                <w:rFonts w:hint="eastAsia" w:ascii="宋体" w:hAnsi="宋体" w:cs="宋体"/>
                <w:b w:val="0"/>
                <w:bCs w:val="0"/>
                <w:kern w:val="2"/>
                <w:sz w:val="24"/>
                <w:szCs w:val="24"/>
                <w:shd w:val="clear" w:color="auto" w:fill="FFFFFF"/>
                <w:lang w:val="en-US" w:eastAsia="zh-CN" w:bidi="ar-SA"/>
              </w:rPr>
              <w:t>有关区县</w:t>
            </w:r>
            <w:r>
              <w:rPr>
                <w:rFonts w:hint="eastAsia" w:ascii="宋体" w:hAnsi="宋体" w:eastAsia="宋体" w:cs="宋体"/>
                <w:b w:val="0"/>
                <w:bCs w:val="0"/>
                <w:kern w:val="2"/>
                <w:sz w:val="24"/>
                <w:szCs w:val="24"/>
                <w:shd w:val="clear" w:color="auto" w:fill="FFFFFF"/>
                <w:lang w:val="en-US" w:eastAsia="zh-CN" w:bidi="ar-SA"/>
              </w:rPr>
              <w:t>政府和国有投资平台公司建立了战略合作关系，积极参加市属大型重点基础设施及公共建筑等项目建设，因此在参与本地重大建设项目方面具有较为明显的品牌和区域优势。目前，公司也积极与包括央企在内的大型施工企业等单位合作，共同开拓市场。</w:t>
            </w:r>
          </w:p>
          <w:p w14:paraId="6BCCC62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kern w:val="2"/>
                <w:sz w:val="24"/>
                <w:szCs w:val="24"/>
                <w:shd w:val="clear" w:color="auto" w:fill="FFFFFF"/>
                <w:lang w:val="en-US" w:eastAsia="zh-CN" w:bidi="ar-SA"/>
              </w:rPr>
            </w:pPr>
            <w:r>
              <w:rPr>
                <w:rFonts w:hint="eastAsia" w:ascii="宋体" w:hAnsi="宋体" w:cs="宋体"/>
                <w:b/>
                <w:bCs/>
                <w:kern w:val="2"/>
                <w:sz w:val="24"/>
                <w:szCs w:val="24"/>
                <w:shd w:val="clear" w:color="auto" w:fill="FFFFFF"/>
                <w:lang w:val="en-US" w:eastAsia="zh-CN" w:bidi="ar-SA"/>
              </w:rPr>
              <w:t>3.</w:t>
            </w:r>
            <w:r>
              <w:rPr>
                <w:rFonts w:hint="eastAsia" w:ascii="宋体" w:hAnsi="宋体" w:eastAsia="宋体" w:cs="宋体"/>
                <w:b/>
                <w:bCs/>
                <w:kern w:val="2"/>
                <w:sz w:val="24"/>
                <w:szCs w:val="24"/>
                <w:shd w:val="clear" w:color="auto" w:fill="FFFFFF"/>
                <w:lang w:val="en-US" w:eastAsia="zh-CN" w:bidi="ar-SA"/>
              </w:rPr>
              <w:t>重庆市新一轮国企改革是否对公司业务模式产生积极影响？</w:t>
            </w:r>
          </w:p>
          <w:p w14:paraId="4E996E3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b w:val="0"/>
                <w:bCs w:val="0"/>
                <w:kern w:val="2"/>
                <w:sz w:val="24"/>
                <w:szCs w:val="24"/>
                <w:shd w:val="clear" w:color="auto" w:fill="FFFFFF"/>
                <w:lang w:val="en-US" w:eastAsia="zh-CN" w:bidi="ar-SA"/>
              </w:rPr>
            </w:pPr>
            <w:bookmarkStart w:id="0" w:name="_GoBack"/>
            <w:bookmarkEnd w:id="0"/>
            <w:r>
              <w:rPr>
                <w:rFonts w:hint="eastAsia" w:ascii="宋体" w:hAnsi="宋体" w:eastAsia="宋体" w:cs="宋体"/>
                <w:b w:val="0"/>
                <w:bCs w:val="0"/>
                <w:kern w:val="2"/>
                <w:sz w:val="24"/>
                <w:szCs w:val="24"/>
                <w:shd w:val="clear" w:color="auto" w:fill="FFFFFF"/>
                <w:lang w:val="en-US" w:eastAsia="zh-CN" w:bidi="ar-SA"/>
              </w:rPr>
              <w:t>公司按照市委部署要求和市属重点国有企业改革攻坚专项行动相关精神，深入贯彻国企改革相关要求，扎实有效推进各项工作，以持续推动精简层级、整合优化资源、有效提升管理水平。2025年，公司开展了吸收合并全资子公司以及下属全资子公司吸收合并孙公司等相关国企改革工作。随着改革的深入推进，公司将继续探索</w:t>
            </w:r>
            <w:r>
              <w:rPr>
                <w:rFonts w:hint="eastAsia" w:ascii="宋体" w:hAnsi="宋体" w:cs="宋体"/>
                <w:b w:val="0"/>
                <w:bCs w:val="0"/>
                <w:kern w:val="2"/>
                <w:sz w:val="24"/>
                <w:szCs w:val="24"/>
                <w:shd w:val="clear" w:color="auto" w:fill="FFFFFF"/>
                <w:lang w:val="en-US" w:eastAsia="zh-CN" w:bidi="ar-SA"/>
              </w:rPr>
              <w:t>改革</w:t>
            </w:r>
            <w:r>
              <w:rPr>
                <w:rFonts w:hint="eastAsia" w:ascii="宋体" w:hAnsi="宋体" w:eastAsia="宋体" w:cs="宋体"/>
                <w:b w:val="0"/>
                <w:bCs w:val="0"/>
                <w:kern w:val="2"/>
                <w:sz w:val="24"/>
                <w:szCs w:val="24"/>
                <w:shd w:val="clear" w:color="auto" w:fill="FFFFFF"/>
                <w:lang w:val="en-US" w:eastAsia="zh-CN" w:bidi="ar-SA"/>
              </w:rPr>
              <w:t>之路，不断提升自身的核心竞争力。</w:t>
            </w:r>
          </w:p>
          <w:p w14:paraId="3362CC76">
            <w:pPr>
              <w:pStyle w:val="2"/>
              <w:keepNext/>
              <w:keepLines/>
              <w:pageBreakBefore w:val="0"/>
              <w:widowControl w:val="0"/>
              <w:kinsoku/>
              <w:wordWrap/>
              <w:overflowPunct/>
              <w:topLinePunct w:val="0"/>
              <w:autoSpaceDE/>
              <w:autoSpaceDN/>
              <w:bidi w:val="0"/>
              <w:adjustRightInd/>
              <w:snapToGrid/>
              <w:spacing w:before="0" w:after="0" w:line="500" w:lineRule="exact"/>
              <w:ind w:firstLine="482" w:firstLineChars="200"/>
              <w:textAlignment w:val="auto"/>
              <w:rPr>
                <w:rFonts w:hint="default" w:ascii="宋体" w:hAnsi="宋体" w:cs="Times New Roman"/>
                <w:b/>
                <w:bCs w:val="0"/>
                <w:kern w:val="2"/>
                <w:sz w:val="24"/>
                <w:szCs w:val="24"/>
                <w:lang w:val="en-US" w:eastAsia="zh-CN" w:bidi="ar-SA"/>
              </w:rPr>
            </w:pPr>
            <w:r>
              <w:rPr>
                <w:rFonts w:hint="eastAsia" w:ascii="宋体" w:hAnsi="宋体" w:cs="Times New Roman"/>
                <w:b/>
                <w:bCs w:val="0"/>
                <w:kern w:val="2"/>
                <w:sz w:val="24"/>
                <w:szCs w:val="24"/>
                <w:lang w:val="en-US" w:eastAsia="zh-CN" w:bidi="ar-SA"/>
              </w:rPr>
              <w:t>4.可转债的打算？</w:t>
            </w:r>
          </w:p>
          <w:p w14:paraId="38D87DAC">
            <w:pPr>
              <w:pStyle w:val="2"/>
              <w:keepNext/>
              <w:keepLines/>
              <w:pageBreakBefore w:val="0"/>
              <w:widowControl w:val="0"/>
              <w:kinsoku/>
              <w:wordWrap/>
              <w:overflowPunct/>
              <w:topLinePunct w:val="0"/>
              <w:autoSpaceDE/>
              <w:autoSpaceDN/>
              <w:bidi w:val="0"/>
              <w:adjustRightInd/>
              <w:snapToGrid/>
              <w:spacing w:before="0" w:after="0" w:line="500" w:lineRule="exact"/>
              <w:ind w:firstLine="480" w:firstLineChars="200"/>
              <w:textAlignment w:val="auto"/>
              <w:rPr>
                <w:rFonts w:hint="eastAsia" w:ascii="宋体" w:hAnsi="宋体" w:eastAsia="宋体" w:cs="宋体"/>
                <w:b w:val="0"/>
                <w:bCs w:val="0"/>
                <w:kern w:val="2"/>
                <w:sz w:val="24"/>
                <w:szCs w:val="24"/>
                <w:shd w:val="clear" w:color="auto" w:fill="FFFFFF"/>
                <w:lang w:val="en-US" w:eastAsia="zh-CN" w:bidi="ar-SA"/>
              </w:rPr>
            </w:pPr>
            <w:r>
              <w:rPr>
                <w:rFonts w:hint="eastAsia" w:ascii="宋体" w:hAnsi="宋体" w:eastAsia="宋体" w:cs="宋体"/>
                <w:b w:val="0"/>
                <w:bCs w:val="0"/>
                <w:kern w:val="2"/>
                <w:sz w:val="24"/>
                <w:szCs w:val="24"/>
                <w:shd w:val="clear" w:color="auto" w:fill="FFFFFF"/>
                <w:lang w:val="en-US" w:eastAsia="zh-CN" w:bidi="ar-SA"/>
              </w:rPr>
              <w:t>公司</w:t>
            </w:r>
            <w:r>
              <w:rPr>
                <w:rFonts w:hint="eastAsia" w:ascii="宋体" w:hAnsi="宋体" w:cs="宋体"/>
                <w:b w:val="0"/>
                <w:bCs w:val="0"/>
                <w:kern w:val="2"/>
                <w:sz w:val="24"/>
                <w:szCs w:val="24"/>
                <w:shd w:val="clear" w:color="auto" w:fill="FFFFFF"/>
                <w:lang w:val="en-US" w:eastAsia="zh-CN" w:bidi="ar-SA"/>
              </w:rPr>
              <w:t>已适时</w:t>
            </w:r>
            <w:r>
              <w:rPr>
                <w:rFonts w:hint="eastAsia" w:ascii="宋体" w:hAnsi="宋体" w:eastAsia="宋体" w:cs="宋体"/>
                <w:b w:val="0"/>
                <w:bCs w:val="0"/>
                <w:kern w:val="2"/>
                <w:sz w:val="24"/>
                <w:szCs w:val="24"/>
                <w:shd w:val="clear" w:color="auto" w:fill="FFFFFF"/>
                <w:lang w:val="en-US" w:eastAsia="zh-CN" w:bidi="ar-SA"/>
              </w:rPr>
              <w:t>采取</w:t>
            </w:r>
            <w:r>
              <w:rPr>
                <w:rFonts w:hint="eastAsia" w:ascii="宋体" w:hAnsi="宋体" w:cs="宋体"/>
                <w:b w:val="0"/>
                <w:bCs w:val="0"/>
                <w:kern w:val="2"/>
                <w:sz w:val="24"/>
                <w:szCs w:val="24"/>
                <w:shd w:val="clear" w:color="auto" w:fill="FFFFFF"/>
                <w:lang w:val="en-US" w:eastAsia="zh-CN" w:bidi="ar-SA"/>
              </w:rPr>
              <w:t>调整转股价格的</w:t>
            </w:r>
            <w:r>
              <w:rPr>
                <w:rFonts w:hint="eastAsia" w:ascii="宋体" w:hAnsi="宋体" w:eastAsia="宋体" w:cs="宋体"/>
                <w:b w:val="0"/>
                <w:bCs w:val="0"/>
                <w:kern w:val="2"/>
                <w:sz w:val="24"/>
                <w:szCs w:val="24"/>
                <w:shd w:val="clear" w:color="auto" w:fill="FFFFFF"/>
                <w:lang w:val="en-US" w:eastAsia="zh-CN" w:bidi="ar-SA"/>
              </w:rPr>
              <w:t>相关措施</w:t>
            </w:r>
            <w:r>
              <w:rPr>
                <w:rFonts w:hint="eastAsia" w:ascii="宋体" w:hAnsi="宋体" w:cs="宋体"/>
                <w:b w:val="0"/>
                <w:bCs w:val="0"/>
                <w:kern w:val="2"/>
                <w:sz w:val="24"/>
                <w:szCs w:val="24"/>
                <w:shd w:val="clear" w:color="auto" w:fill="FFFFFF"/>
                <w:lang w:val="en-US" w:eastAsia="zh-CN" w:bidi="ar-SA"/>
              </w:rPr>
              <w:t>积极</w:t>
            </w:r>
            <w:r>
              <w:rPr>
                <w:rFonts w:hint="eastAsia" w:ascii="宋体" w:hAnsi="宋体" w:eastAsia="宋体" w:cs="宋体"/>
                <w:b w:val="0"/>
                <w:bCs w:val="0"/>
                <w:kern w:val="2"/>
                <w:sz w:val="24"/>
                <w:szCs w:val="24"/>
                <w:shd w:val="clear" w:color="auto" w:fill="FFFFFF"/>
                <w:lang w:val="en-US" w:eastAsia="zh-CN" w:bidi="ar-SA"/>
              </w:rPr>
              <w:t>促进转股</w:t>
            </w:r>
            <w:r>
              <w:rPr>
                <w:rFonts w:hint="eastAsia" w:ascii="宋体" w:hAnsi="宋体" w:cs="宋体"/>
                <w:b w:val="0"/>
                <w:bCs w:val="0"/>
                <w:kern w:val="2"/>
                <w:sz w:val="24"/>
                <w:szCs w:val="24"/>
                <w:shd w:val="clear" w:color="auto" w:fill="FFFFFF"/>
                <w:lang w:val="en-US" w:eastAsia="zh-CN" w:bidi="ar-SA"/>
              </w:rPr>
              <w:t>。2025年6月27日，公司已就建工转债转股价格再次实施了向下</w:t>
            </w:r>
            <w:r>
              <w:rPr>
                <w:rFonts w:hint="eastAsia" w:ascii="宋体" w:hAnsi="宋体" w:eastAsia="宋体" w:cs="宋体"/>
                <w:b w:val="0"/>
                <w:bCs w:val="0"/>
                <w:kern w:val="2"/>
                <w:sz w:val="24"/>
                <w:szCs w:val="24"/>
                <w:shd w:val="clear" w:color="auto" w:fill="FFFFFF"/>
                <w:lang w:val="en-US" w:eastAsia="zh-CN" w:bidi="ar-SA"/>
              </w:rPr>
              <w:t>修</w:t>
            </w:r>
            <w:r>
              <w:rPr>
                <w:rFonts w:hint="eastAsia" w:ascii="宋体" w:hAnsi="宋体" w:cs="宋体"/>
                <w:b w:val="0"/>
                <w:bCs w:val="0"/>
                <w:kern w:val="2"/>
                <w:sz w:val="24"/>
                <w:szCs w:val="24"/>
                <w:shd w:val="clear" w:color="auto" w:fill="FFFFFF"/>
                <w:lang w:val="en-US" w:eastAsia="zh-CN" w:bidi="ar-SA"/>
              </w:rPr>
              <w:t>正。截至目前，建工转债的转股价格为4.07元/股</w:t>
            </w:r>
            <w:r>
              <w:rPr>
                <w:rFonts w:hint="eastAsia" w:ascii="宋体" w:hAnsi="宋体" w:eastAsia="宋体" w:cs="宋体"/>
                <w:b w:val="0"/>
                <w:bCs w:val="0"/>
                <w:kern w:val="2"/>
                <w:sz w:val="24"/>
                <w:szCs w:val="24"/>
                <w:shd w:val="clear" w:color="auto" w:fill="FFFFFF"/>
                <w:lang w:val="en-US" w:eastAsia="zh-CN" w:bidi="ar-SA"/>
              </w:rPr>
              <w:t>。同时，公司也将合理统筹调配资金，通过存量资产的盘活、参股公司股权的变现以及融资工具的运用等多种渠道作好到期偿付的资金安排。</w:t>
            </w:r>
          </w:p>
          <w:p w14:paraId="43AF03E5">
            <w:pPr>
              <w:keepNext w:val="0"/>
              <w:keepLines w:val="0"/>
              <w:pageBreakBefore w:val="0"/>
              <w:widowControl w:val="0"/>
              <w:tabs>
                <w:tab w:val="left" w:pos="1525"/>
                <w:tab w:val="center" w:pos="4153"/>
              </w:tabs>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Times New Roman"/>
                <w:b/>
                <w:bCs w:val="0"/>
                <w:kern w:val="2"/>
                <w:sz w:val="24"/>
                <w:szCs w:val="24"/>
                <w:lang w:val="en-US" w:eastAsia="zh-CN" w:bidi="ar-SA"/>
              </w:rPr>
            </w:pPr>
            <w:r>
              <w:rPr>
                <w:rFonts w:hint="eastAsia" w:ascii="宋体" w:hAnsi="宋体" w:cs="Times New Roman"/>
                <w:b/>
                <w:bCs w:val="0"/>
                <w:kern w:val="2"/>
                <w:sz w:val="24"/>
                <w:szCs w:val="24"/>
                <w:lang w:val="en-US" w:eastAsia="zh-CN" w:bidi="ar-SA"/>
              </w:rPr>
              <w:t>5</w:t>
            </w:r>
            <w:r>
              <w:rPr>
                <w:rFonts w:hint="eastAsia" w:ascii="宋体" w:hAnsi="宋体" w:eastAsia="宋体" w:cs="Times New Roman"/>
                <w:b/>
                <w:bCs w:val="0"/>
                <w:kern w:val="2"/>
                <w:sz w:val="24"/>
                <w:szCs w:val="24"/>
                <w:lang w:val="en-US" w:eastAsia="zh-CN" w:bidi="ar-SA"/>
              </w:rPr>
              <w:t>.公司新质生产力战略方向？是否有围绕主业或者第二曲线相关的收并购计划？</w:t>
            </w:r>
          </w:p>
          <w:p w14:paraId="4789209D">
            <w:pPr>
              <w:pStyle w:val="2"/>
              <w:keepNext/>
              <w:keepLines/>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lang w:val="en-US" w:eastAsia="zh-CN"/>
              </w:rPr>
            </w:pPr>
            <w:r>
              <w:rPr>
                <w:rFonts w:hint="eastAsia" w:ascii="宋体" w:hAnsi="宋体" w:eastAsia="宋体" w:cs="宋体"/>
                <w:b w:val="0"/>
                <w:bCs w:val="0"/>
                <w:kern w:val="2"/>
                <w:sz w:val="24"/>
                <w:szCs w:val="24"/>
                <w:shd w:val="clear" w:color="auto" w:fill="FFFFFF"/>
                <w:lang w:val="en-US" w:eastAsia="zh-CN" w:bidi="ar-SA"/>
              </w:rPr>
              <w:t>公司除做好传统建筑施工主业外，将积极围绕新质生产力布局谋篇，努力</w:t>
            </w:r>
            <w:r>
              <w:rPr>
                <w:rFonts w:hint="eastAsia" w:ascii="宋体" w:hAnsi="宋体" w:cs="宋体"/>
                <w:b w:val="0"/>
                <w:bCs w:val="0"/>
                <w:kern w:val="2"/>
                <w:sz w:val="24"/>
                <w:szCs w:val="24"/>
                <w:shd w:val="clear" w:color="auto" w:fill="FFFFFF"/>
                <w:lang w:val="en-US" w:eastAsia="zh-CN" w:bidi="ar-SA"/>
              </w:rPr>
              <w:t>加快</w:t>
            </w:r>
            <w:r>
              <w:rPr>
                <w:rFonts w:hint="eastAsia" w:ascii="宋体" w:hAnsi="宋体" w:eastAsia="宋体" w:cs="宋体"/>
                <w:b w:val="0"/>
                <w:bCs w:val="0"/>
                <w:kern w:val="2"/>
                <w:sz w:val="24"/>
                <w:szCs w:val="24"/>
                <w:shd w:val="clear" w:color="auto" w:fill="FFFFFF"/>
                <w:lang w:val="en-US" w:eastAsia="zh-CN" w:bidi="ar-SA"/>
              </w:rPr>
              <w:t>传统产业数字化、智能化转型升级步伐</w:t>
            </w:r>
            <w:r>
              <w:rPr>
                <w:rFonts w:hint="eastAsia" w:ascii="宋体" w:hAnsi="宋体" w:cs="宋体"/>
                <w:b w:val="0"/>
                <w:bCs w:val="0"/>
                <w:kern w:val="2"/>
                <w:sz w:val="24"/>
                <w:szCs w:val="24"/>
                <w:shd w:val="clear" w:color="auto" w:fill="FFFFFF"/>
                <w:lang w:val="en-US" w:eastAsia="zh-CN" w:bidi="ar-SA"/>
              </w:rPr>
              <w:t>，提升</w:t>
            </w:r>
            <w:r>
              <w:rPr>
                <w:rFonts w:hint="eastAsia" w:ascii="宋体" w:hAnsi="宋体" w:eastAsia="宋体" w:cs="宋体"/>
                <w:b w:val="0"/>
                <w:bCs w:val="0"/>
                <w:kern w:val="2"/>
                <w:sz w:val="24"/>
                <w:szCs w:val="24"/>
                <w:shd w:val="clear" w:color="auto" w:fill="FFFFFF"/>
                <w:lang w:val="en-US" w:eastAsia="zh-CN" w:bidi="ar-SA"/>
              </w:rPr>
              <w:t>公司发展</w:t>
            </w:r>
            <w:r>
              <w:rPr>
                <w:rFonts w:hint="eastAsia" w:ascii="宋体" w:hAnsi="宋体" w:cs="宋体"/>
                <w:b w:val="0"/>
                <w:bCs w:val="0"/>
                <w:kern w:val="2"/>
                <w:sz w:val="24"/>
                <w:szCs w:val="24"/>
                <w:shd w:val="clear" w:color="auto" w:fill="FFFFFF"/>
                <w:lang w:val="en-US" w:eastAsia="zh-CN" w:bidi="ar-SA"/>
              </w:rPr>
              <w:t>质量</w:t>
            </w:r>
            <w:r>
              <w:rPr>
                <w:rFonts w:hint="eastAsia" w:ascii="宋体" w:hAnsi="宋体" w:eastAsia="宋体" w:cs="宋体"/>
                <w:b w:val="0"/>
                <w:bCs w:val="0"/>
                <w:kern w:val="2"/>
                <w:sz w:val="24"/>
                <w:szCs w:val="24"/>
                <w:shd w:val="clear" w:color="auto" w:fill="FFFFFF"/>
                <w:lang w:val="en-US" w:eastAsia="zh-CN" w:bidi="ar-SA"/>
              </w:rPr>
              <w:t>。公司积极关注产业机会，未来如有相关</w:t>
            </w:r>
            <w:r>
              <w:rPr>
                <w:rFonts w:hint="eastAsia" w:ascii="宋体" w:hAnsi="宋体" w:cs="宋体"/>
                <w:b w:val="0"/>
                <w:bCs w:val="0"/>
                <w:kern w:val="2"/>
                <w:sz w:val="24"/>
                <w:szCs w:val="24"/>
                <w:shd w:val="clear" w:color="auto" w:fill="FFFFFF"/>
                <w:lang w:val="en-US" w:eastAsia="zh-CN" w:bidi="ar-SA"/>
              </w:rPr>
              <w:t>事项</w:t>
            </w:r>
            <w:r>
              <w:rPr>
                <w:rFonts w:hint="eastAsia" w:ascii="宋体" w:hAnsi="宋体" w:eastAsia="宋体" w:cs="宋体"/>
                <w:b w:val="0"/>
                <w:bCs w:val="0"/>
                <w:kern w:val="2"/>
                <w:sz w:val="24"/>
                <w:szCs w:val="24"/>
                <w:shd w:val="clear" w:color="auto" w:fill="FFFFFF"/>
                <w:lang w:val="en-US" w:eastAsia="zh-CN" w:bidi="ar-SA"/>
              </w:rPr>
              <w:t>，将根据相关法律法规及时履行信息披露义务。</w:t>
            </w:r>
          </w:p>
        </w:tc>
      </w:tr>
      <w:tr w14:paraId="17A65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0" w:type="dxa"/>
            <w:tcBorders>
              <w:top w:val="single" w:color="auto" w:sz="4" w:space="0"/>
              <w:left w:val="single" w:color="auto" w:sz="4" w:space="0"/>
              <w:bottom w:val="single" w:color="auto" w:sz="4" w:space="0"/>
              <w:right w:val="single" w:color="auto" w:sz="4" w:space="0"/>
            </w:tcBorders>
            <w:noWrap w:val="0"/>
            <w:vAlign w:val="center"/>
          </w:tcPr>
          <w:p w14:paraId="1EB5F997">
            <w:pPr>
              <w:spacing w:line="420" w:lineRule="exact"/>
              <w:rPr>
                <w:bCs/>
                <w:iCs/>
                <w:color w:val="000000"/>
                <w:kern w:val="0"/>
                <w:sz w:val="24"/>
              </w:rPr>
            </w:pPr>
            <w:r>
              <w:rPr>
                <w:rFonts w:hAnsi="宋体"/>
                <w:bCs/>
                <w:iCs/>
                <w:color w:val="000000"/>
                <w:kern w:val="0"/>
                <w:sz w:val="24"/>
              </w:rPr>
              <w:t>附件清单（如有）</w:t>
            </w:r>
          </w:p>
        </w:tc>
        <w:tc>
          <w:tcPr>
            <w:tcW w:w="7434" w:type="dxa"/>
            <w:tcBorders>
              <w:top w:val="single" w:color="auto" w:sz="4" w:space="0"/>
              <w:left w:val="single" w:color="auto" w:sz="4" w:space="0"/>
              <w:bottom w:val="single" w:color="auto" w:sz="4" w:space="0"/>
              <w:right w:val="single" w:color="auto" w:sz="4" w:space="0"/>
            </w:tcBorders>
            <w:noWrap w:val="0"/>
            <w:vAlign w:val="top"/>
          </w:tcPr>
          <w:p w14:paraId="21E74A49">
            <w:pPr>
              <w:spacing w:line="420" w:lineRule="exact"/>
              <w:rPr>
                <w:rFonts w:hint="eastAsia" w:eastAsia="宋体"/>
                <w:bCs/>
                <w:iCs/>
                <w:color w:val="000000"/>
                <w:sz w:val="24"/>
                <w:lang w:val="en-US" w:eastAsia="zh-CN"/>
              </w:rPr>
            </w:pPr>
            <w:r>
              <w:rPr>
                <w:rFonts w:hint="eastAsia"/>
                <w:bCs/>
                <w:iCs/>
                <w:color w:val="000000"/>
                <w:sz w:val="24"/>
                <w:lang w:val="en-US" w:eastAsia="zh-CN"/>
              </w:rPr>
              <w:t>无</w:t>
            </w:r>
          </w:p>
        </w:tc>
      </w:tr>
      <w:tr w14:paraId="5030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1950" w:type="dxa"/>
            <w:tcBorders>
              <w:top w:val="single" w:color="auto" w:sz="4" w:space="0"/>
              <w:left w:val="single" w:color="auto" w:sz="4" w:space="0"/>
              <w:bottom w:val="single" w:color="auto" w:sz="4" w:space="0"/>
              <w:right w:val="single" w:color="auto" w:sz="4" w:space="0"/>
            </w:tcBorders>
            <w:noWrap w:val="0"/>
            <w:vAlign w:val="center"/>
          </w:tcPr>
          <w:p w14:paraId="5ED44862">
            <w:pPr>
              <w:spacing w:line="420" w:lineRule="exact"/>
              <w:rPr>
                <w:rFonts w:hint="eastAsia" w:hAnsi="宋体" w:eastAsia="宋体"/>
                <w:bCs/>
                <w:iCs/>
                <w:color w:val="000000"/>
                <w:kern w:val="0"/>
                <w:sz w:val="24"/>
                <w:lang w:val="en-US" w:eastAsia="zh-CN"/>
              </w:rPr>
            </w:pPr>
            <w:r>
              <w:rPr>
                <w:rFonts w:hint="eastAsia" w:hAnsi="宋体"/>
                <w:bCs/>
                <w:iCs/>
                <w:color w:val="000000"/>
                <w:kern w:val="0"/>
                <w:sz w:val="24"/>
                <w:lang w:val="en-US" w:eastAsia="zh-CN"/>
              </w:rPr>
              <w:t>备 注</w:t>
            </w:r>
          </w:p>
        </w:tc>
        <w:tc>
          <w:tcPr>
            <w:tcW w:w="7434" w:type="dxa"/>
            <w:tcBorders>
              <w:top w:val="single" w:color="auto" w:sz="4" w:space="0"/>
              <w:left w:val="single" w:color="auto" w:sz="4" w:space="0"/>
              <w:bottom w:val="single" w:color="auto" w:sz="4" w:space="0"/>
              <w:right w:val="single" w:color="auto" w:sz="4" w:space="0"/>
            </w:tcBorders>
            <w:noWrap w:val="0"/>
            <w:vAlign w:val="top"/>
          </w:tcPr>
          <w:p w14:paraId="044B3305">
            <w:pPr>
              <w:spacing w:line="420" w:lineRule="exact"/>
              <w:rPr>
                <w:rFonts w:hint="eastAsia" w:eastAsia="宋体"/>
                <w:bCs/>
                <w:iCs/>
                <w:color w:val="000000"/>
                <w:sz w:val="24"/>
                <w:lang w:val="en-US" w:eastAsia="zh-CN"/>
              </w:rPr>
            </w:pPr>
            <w:r>
              <w:rPr>
                <w:rFonts w:hint="eastAsia"/>
                <w:bCs/>
                <w:iCs/>
                <w:color w:val="000000"/>
                <w:sz w:val="24"/>
              </w:rPr>
              <w:t>本次活动不涉及应当披露重大信息的情形</w:t>
            </w:r>
            <w:r>
              <w:rPr>
                <w:rFonts w:hint="eastAsia"/>
                <w:bCs/>
                <w:iCs/>
                <w:color w:val="000000"/>
                <w:sz w:val="24"/>
                <w:lang w:eastAsia="zh-CN"/>
              </w:rPr>
              <w:t>。</w:t>
            </w:r>
          </w:p>
        </w:tc>
      </w:tr>
    </w:tbl>
    <w:p w14:paraId="0D22EC0D"/>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MicrosoftYaHei">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A275C">
    <w:pPr>
      <w:pStyle w:val="3"/>
      <w:jc w:val="both"/>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BDD4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0BDD4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1532C">
    <w:pPr>
      <w:pStyle w:val="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iNjYxMGFkZjY0YjI3NDU0MTRkYzVlMmE5NDYwY2QifQ=="/>
  </w:docVars>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D5314"/>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17E6F26"/>
    <w:rsid w:val="02851531"/>
    <w:rsid w:val="033262AA"/>
    <w:rsid w:val="034B20E7"/>
    <w:rsid w:val="050D65F7"/>
    <w:rsid w:val="068A095C"/>
    <w:rsid w:val="09CC7C34"/>
    <w:rsid w:val="0A656ED5"/>
    <w:rsid w:val="0B9C1B14"/>
    <w:rsid w:val="0C8B665C"/>
    <w:rsid w:val="0E58760D"/>
    <w:rsid w:val="0E9F4B6A"/>
    <w:rsid w:val="0EC1061B"/>
    <w:rsid w:val="126B2A34"/>
    <w:rsid w:val="12CF0B76"/>
    <w:rsid w:val="1399101A"/>
    <w:rsid w:val="13A046AA"/>
    <w:rsid w:val="14E37E2E"/>
    <w:rsid w:val="151F2569"/>
    <w:rsid w:val="16CB4564"/>
    <w:rsid w:val="18A300D5"/>
    <w:rsid w:val="1B2418A5"/>
    <w:rsid w:val="1B4A2560"/>
    <w:rsid w:val="1B696EAE"/>
    <w:rsid w:val="1BBE01F3"/>
    <w:rsid w:val="1F1C4C07"/>
    <w:rsid w:val="1F893838"/>
    <w:rsid w:val="1FBFC074"/>
    <w:rsid w:val="232C0D56"/>
    <w:rsid w:val="25060276"/>
    <w:rsid w:val="258C430E"/>
    <w:rsid w:val="28C52BC1"/>
    <w:rsid w:val="29F40FE5"/>
    <w:rsid w:val="2A1B7E98"/>
    <w:rsid w:val="2B4B7A27"/>
    <w:rsid w:val="2B7D2C5A"/>
    <w:rsid w:val="2C855CE0"/>
    <w:rsid w:val="2CD930DF"/>
    <w:rsid w:val="2DDD275B"/>
    <w:rsid w:val="308C2216"/>
    <w:rsid w:val="32816197"/>
    <w:rsid w:val="32FD6629"/>
    <w:rsid w:val="348B3866"/>
    <w:rsid w:val="34EF2124"/>
    <w:rsid w:val="36C57148"/>
    <w:rsid w:val="36D47E8E"/>
    <w:rsid w:val="36FB9E1F"/>
    <w:rsid w:val="376D37FF"/>
    <w:rsid w:val="38056671"/>
    <w:rsid w:val="399527B9"/>
    <w:rsid w:val="3ADB0AE7"/>
    <w:rsid w:val="3BFA3B96"/>
    <w:rsid w:val="3CEF3472"/>
    <w:rsid w:val="3E792842"/>
    <w:rsid w:val="3EC46392"/>
    <w:rsid w:val="3EFF16E9"/>
    <w:rsid w:val="3F871CA4"/>
    <w:rsid w:val="41DF489C"/>
    <w:rsid w:val="45C41B4C"/>
    <w:rsid w:val="471548BC"/>
    <w:rsid w:val="477B5933"/>
    <w:rsid w:val="479A2633"/>
    <w:rsid w:val="47C13E35"/>
    <w:rsid w:val="48CF3C43"/>
    <w:rsid w:val="4A1E617D"/>
    <w:rsid w:val="4A9E1A39"/>
    <w:rsid w:val="4C5E0D3E"/>
    <w:rsid w:val="4D516B4A"/>
    <w:rsid w:val="4D9A0AFF"/>
    <w:rsid w:val="4E8973EE"/>
    <w:rsid w:val="4F1F09CE"/>
    <w:rsid w:val="4F913633"/>
    <w:rsid w:val="4FAB04B3"/>
    <w:rsid w:val="500A2FF2"/>
    <w:rsid w:val="52C638CF"/>
    <w:rsid w:val="53EB3094"/>
    <w:rsid w:val="53FD6B17"/>
    <w:rsid w:val="54A019B1"/>
    <w:rsid w:val="55347222"/>
    <w:rsid w:val="55403F22"/>
    <w:rsid w:val="554F34EA"/>
    <w:rsid w:val="56D50752"/>
    <w:rsid w:val="577C630B"/>
    <w:rsid w:val="591E631F"/>
    <w:rsid w:val="597559F5"/>
    <w:rsid w:val="598F49A2"/>
    <w:rsid w:val="59E25AA7"/>
    <w:rsid w:val="5A9B6C3A"/>
    <w:rsid w:val="5ED30E8D"/>
    <w:rsid w:val="607A7236"/>
    <w:rsid w:val="61385524"/>
    <w:rsid w:val="63861E15"/>
    <w:rsid w:val="63CC5849"/>
    <w:rsid w:val="64E8140A"/>
    <w:rsid w:val="653D52B2"/>
    <w:rsid w:val="6638520C"/>
    <w:rsid w:val="67641E00"/>
    <w:rsid w:val="676F2A11"/>
    <w:rsid w:val="677376B1"/>
    <w:rsid w:val="689E69AF"/>
    <w:rsid w:val="68AF1BCF"/>
    <w:rsid w:val="697F6E4E"/>
    <w:rsid w:val="6AC63FF9"/>
    <w:rsid w:val="6B085CB7"/>
    <w:rsid w:val="6B6F1F3D"/>
    <w:rsid w:val="6EDD4906"/>
    <w:rsid w:val="71974262"/>
    <w:rsid w:val="730C09AF"/>
    <w:rsid w:val="739142C1"/>
    <w:rsid w:val="743708F7"/>
    <w:rsid w:val="74C257D4"/>
    <w:rsid w:val="75756AD4"/>
    <w:rsid w:val="75E83A27"/>
    <w:rsid w:val="76DC45E7"/>
    <w:rsid w:val="77C24CFB"/>
    <w:rsid w:val="77CF73AC"/>
    <w:rsid w:val="77FA34D6"/>
    <w:rsid w:val="78FF0116"/>
    <w:rsid w:val="797C69C1"/>
    <w:rsid w:val="79B36FD8"/>
    <w:rsid w:val="7AA13FA2"/>
    <w:rsid w:val="7B700C8C"/>
    <w:rsid w:val="7C7B3DF5"/>
    <w:rsid w:val="7D0C1CE2"/>
    <w:rsid w:val="7E916CC8"/>
    <w:rsid w:val="7EF74B39"/>
    <w:rsid w:val="7EFD1B1C"/>
    <w:rsid w:val="7FB04FCC"/>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8">
    <w:name w:val="_Style 6"/>
    <w:basedOn w:val="1"/>
    <w:qFormat/>
    <w:uiPriority w:val="34"/>
    <w:pPr>
      <w:ind w:firstLine="420" w:firstLineChars="200"/>
    </w:pPr>
    <w:rPr>
      <w:rFonts w:ascii="Calibri" w:hAnsi="Calibri" w:eastAsia="宋体" w:cs="Times New Roman"/>
      <w:szCs w:val="22"/>
    </w:rPr>
  </w:style>
  <w:style w:type="paragraph" w:customStyle="1" w:styleId="9">
    <w:name w:val="Char Char Char"/>
    <w:basedOn w:val="1"/>
    <w:qFormat/>
    <w:uiPriority w:val="0"/>
    <w:rPr>
      <w:szCs w:val="21"/>
    </w:rPr>
  </w:style>
  <w:style w:type="paragraph" w:customStyle="1" w:styleId="10">
    <w:name w:val="Char Char Char Char Char Char Char Char Char Char Char Char Char Char Char Char"/>
    <w:basedOn w:val="1"/>
    <w:qFormat/>
    <w:uiPriority w:val="0"/>
  </w:style>
  <w:style w:type="paragraph" w:customStyle="1" w:styleId="11">
    <w:name w:val=" Char Char Char"/>
    <w:basedOn w:val="1"/>
    <w:qFormat/>
    <w:uiPriority w:val="0"/>
  </w:style>
  <w:style w:type="character" w:customStyle="1" w:styleId="12">
    <w:name w:val="页脚 Char"/>
    <w:basedOn w:val="7"/>
    <w:link w:val="3"/>
    <w:qFormat/>
    <w:uiPriority w:val="0"/>
    <w:rPr>
      <w:kern w:val="2"/>
      <w:sz w:val="18"/>
      <w:szCs w:val="18"/>
    </w:rPr>
  </w:style>
  <w:style w:type="character" w:customStyle="1" w:styleId="13">
    <w:name w:val="页眉 Char"/>
    <w:basedOn w:val="7"/>
    <w:link w:val="4"/>
    <w:qFormat/>
    <w:uiPriority w:val="0"/>
    <w:rPr>
      <w:kern w:val="2"/>
      <w:sz w:val="18"/>
      <w:szCs w:val="18"/>
    </w:rPr>
  </w:style>
  <w:style w:type="paragraph" w:styleId="14">
    <w:name w:val="List Paragraph"/>
    <w:basedOn w:val="1"/>
    <w:qFormat/>
    <w:uiPriority w:val="34"/>
    <w:pPr>
      <w:ind w:firstLine="420" w:firstLineChars="200"/>
    </w:pPr>
  </w:style>
  <w:style w:type="paragraph" w:customStyle="1" w:styleId="15">
    <w:name w:val="正文1"/>
    <w:qFormat/>
    <w:uiPriority w:val="0"/>
    <w:pPr>
      <w:jc w:val="both"/>
    </w:pPr>
    <w:rPr>
      <w:rFonts w:ascii="Calibri" w:hAnsi="Calibri" w:eastAsia="宋体" w:cs="Calibri"/>
      <w:kern w:val="2"/>
      <w:sz w:val="21"/>
      <w:szCs w:val="21"/>
      <w:lang w:val="en-US" w:eastAsia="zh-CN" w:bidi="ar-SA"/>
    </w:rPr>
  </w:style>
  <w:style w:type="paragraph" w:customStyle="1" w:styleId="16">
    <w:name w:val="石墨文档正文"/>
    <w:basedOn w:val="1"/>
    <w:qFormat/>
    <w:uiPriority w:val="0"/>
    <w:pPr>
      <w:widowControl/>
      <w:jc w:val="left"/>
    </w:pPr>
    <w:rPr>
      <w:rFonts w:ascii="Arial Unicode MS" w:hAnsi="Arial Unicode MS" w:eastAsia="MicrosoftYaHei" w:cs="宋体"/>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1228</Words>
  <Characters>1269</Characters>
  <Lines>60</Lines>
  <Paragraphs>17</Paragraphs>
  <TotalTime>4</TotalTime>
  <ScaleCrop>false</ScaleCrop>
  <LinksUpToDate>false</LinksUpToDate>
  <CharactersWithSpaces>1405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ZUM</cp:lastModifiedBy>
  <cp:lastPrinted>2025-07-14T06:47:00Z</cp:lastPrinted>
  <dcterms:modified xsi:type="dcterms:W3CDTF">2025-07-14T08:51:48Z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CE3B9FD8677C47EDA011B5BB04BD1A37_13</vt:lpwstr>
  </property>
  <property fmtid="{D5CDD505-2E9C-101B-9397-08002B2CF9AE}" pid="4" name="KSOTemplateDocerSaveRecord">
    <vt:lpwstr>eyJoZGlkIjoiMGViNjYxMGFkZjY0YjI3NDU0MTRkYzVlMmE5NDYwY2QiLCJ1c2VySWQiOiIzMjUyMTUwMTQifQ==</vt:lpwstr>
  </property>
</Properties>
</file>