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3E366">
      <w:pPr>
        <w:jc w:val="center"/>
        <w:rPr>
          <w:sz w:val="28"/>
          <w:szCs w:val="28"/>
        </w:rPr>
      </w:pPr>
      <w:r>
        <w:rPr>
          <w:rFonts w:hint="eastAsia"/>
          <w:sz w:val="28"/>
          <w:szCs w:val="28"/>
        </w:rPr>
        <w:t>杭州柯林电气股份有限公司</w:t>
      </w:r>
    </w:p>
    <w:p w14:paraId="0562A7A1">
      <w:pPr>
        <w:jc w:val="center"/>
        <w:rPr>
          <w:sz w:val="28"/>
          <w:szCs w:val="28"/>
        </w:rPr>
      </w:pPr>
      <w:r>
        <w:rPr>
          <w:rFonts w:hint="eastAsia"/>
          <w:sz w:val="28"/>
          <w:szCs w:val="28"/>
        </w:rPr>
        <w:t>投资者关系活动记录表</w:t>
      </w:r>
    </w:p>
    <w:p w14:paraId="3D0742F1">
      <w:pPr>
        <w:rPr>
          <w:rFonts w:hint="eastAsia" w:eastAsia="宋体"/>
          <w:lang w:val="en-US" w:eastAsia="zh-CN"/>
        </w:rPr>
      </w:pPr>
      <w:r>
        <w:rPr>
          <w:rFonts w:hint="eastAsia"/>
        </w:rPr>
        <w:t xml:space="preserve">证券简称：杭州柯林 </w:t>
      </w:r>
      <w:r>
        <w:t xml:space="preserve">           </w:t>
      </w:r>
      <w:r>
        <w:rPr>
          <w:rFonts w:hint="eastAsia"/>
        </w:rPr>
        <w:t xml:space="preserve">证券代码：688611 </w:t>
      </w:r>
      <w:r>
        <w:t xml:space="preserve">      </w:t>
      </w:r>
      <w:r>
        <w:rPr>
          <w:rFonts w:hint="eastAsia"/>
        </w:rPr>
        <w:t>编号：202</w:t>
      </w:r>
      <w:r>
        <w:rPr>
          <w:rFonts w:hint="eastAsia"/>
          <w:lang w:val="en-US" w:eastAsia="zh-CN"/>
        </w:rPr>
        <w:t>5</w:t>
      </w:r>
      <w:r>
        <w:rPr>
          <w:rFonts w:hint="eastAsia"/>
        </w:rPr>
        <w:t>-0</w:t>
      </w:r>
      <w:r>
        <w:rPr>
          <w:rFonts w:hint="eastAsia"/>
          <w:lang w:val="en-US" w:eastAsia="zh-CN"/>
        </w:rPr>
        <w:t>8</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5903"/>
      </w:tblGrid>
      <w:tr w14:paraId="42CB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vAlign w:val="center"/>
          </w:tcPr>
          <w:p w14:paraId="77375E09">
            <w:pPr>
              <w:jc w:val="center"/>
            </w:pPr>
            <w:r>
              <w:rPr>
                <w:rFonts w:hint="eastAsia"/>
              </w:rPr>
              <w:t>投资者关系活动</w:t>
            </w:r>
          </w:p>
          <w:p w14:paraId="1CF832CC">
            <w:pPr>
              <w:jc w:val="center"/>
            </w:pPr>
            <w:r>
              <w:rPr>
                <w:rFonts w:hint="eastAsia"/>
              </w:rPr>
              <w:t>类别</w:t>
            </w:r>
          </w:p>
        </w:tc>
        <w:tc>
          <w:tcPr>
            <w:tcW w:w="5903" w:type="dxa"/>
            <w:vAlign w:val="top"/>
          </w:tcPr>
          <w:p w14:paraId="1E6AC3F4">
            <w:pPr>
              <w:keepNext w:val="0"/>
              <w:keepLines w:val="0"/>
              <w:pageBreakBefore w:val="0"/>
              <w:widowControl/>
              <w:kinsoku/>
              <w:wordWrap/>
              <w:overflowPunct/>
              <w:topLinePunct w:val="0"/>
              <w:autoSpaceDE/>
              <w:autoSpaceDN/>
              <w:bidi w:val="0"/>
              <w:adjustRightInd/>
              <w:snapToGrid/>
              <w:ind w:firstLine="480" w:firstLineChars="200"/>
              <w:jc w:val="left"/>
              <w:textAlignment w:val="auto"/>
              <w:rPr>
                <w:b w:val="0"/>
                <w:bCs w:val="0"/>
              </w:rPr>
            </w:pPr>
            <w:r>
              <w:rPr>
                <w:rFonts w:hint="eastAsia"/>
                <w:b w:val="0"/>
                <w:bCs w:val="0"/>
                <w:lang w:val="en-US" w:eastAsia="zh-CN"/>
              </w:rPr>
              <w:t>☑</w:t>
            </w:r>
            <w:r>
              <w:rPr>
                <w:rFonts w:hint="eastAsia"/>
                <w:b w:val="0"/>
                <w:bCs w:val="0"/>
              </w:rPr>
              <w:t xml:space="preserve">特定对象调研 </w:t>
            </w:r>
            <w:r>
              <w:rPr>
                <w:b w:val="0"/>
                <w:bCs w:val="0"/>
              </w:rPr>
              <w:t xml:space="preserve">   </w:t>
            </w:r>
            <w:r>
              <w:rPr>
                <w:rFonts w:hint="eastAsia"/>
                <w:b w:val="0"/>
                <w:bCs w:val="0"/>
                <w:lang w:eastAsia="zh-CN"/>
              </w:rPr>
              <w:t>□</w:t>
            </w:r>
            <w:r>
              <w:rPr>
                <w:rFonts w:hint="eastAsia"/>
                <w:b w:val="0"/>
                <w:bCs w:val="0"/>
              </w:rPr>
              <w:t>分析师会议</w:t>
            </w:r>
          </w:p>
          <w:p w14:paraId="10EE8CD9">
            <w:pPr>
              <w:keepNext w:val="0"/>
              <w:keepLines w:val="0"/>
              <w:pageBreakBefore w:val="0"/>
              <w:widowControl/>
              <w:kinsoku/>
              <w:wordWrap/>
              <w:overflowPunct/>
              <w:topLinePunct w:val="0"/>
              <w:autoSpaceDE/>
              <w:autoSpaceDN/>
              <w:bidi w:val="0"/>
              <w:adjustRightInd/>
              <w:snapToGrid/>
              <w:ind w:firstLine="480" w:firstLineChars="200"/>
              <w:jc w:val="left"/>
              <w:textAlignment w:val="auto"/>
              <w:rPr>
                <w:b w:val="0"/>
                <w:bCs w:val="0"/>
              </w:rPr>
            </w:pPr>
            <w:r>
              <w:rPr>
                <w:rFonts w:hint="default"/>
                <w:b w:val="0"/>
                <w:bCs w:val="0"/>
                <w:lang w:val="en-US"/>
              </w:rPr>
              <w:t>□</w:t>
            </w:r>
            <w:r>
              <w:rPr>
                <w:rFonts w:hint="eastAsia"/>
                <w:b w:val="0"/>
                <w:bCs w:val="0"/>
              </w:rPr>
              <w:t xml:space="preserve">媒体采访 </w:t>
            </w:r>
            <w:r>
              <w:rPr>
                <w:b w:val="0"/>
                <w:bCs w:val="0"/>
              </w:rPr>
              <w:t xml:space="preserve">       </w:t>
            </w:r>
            <w:r>
              <w:rPr>
                <w:rFonts w:hint="eastAsia"/>
                <w:b w:val="0"/>
                <w:bCs w:val="0"/>
              </w:rPr>
              <w:t>□业绩说明会</w:t>
            </w:r>
          </w:p>
          <w:p w14:paraId="4DE26AEE">
            <w:pPr>
              <w:keepNext w:val="0"/>
              <w:keepLines w:val="0"/>
              <w:pageBreakBefore w:val="0"/>
              <w:widowControl/>
              <w:kinsoku/>
              <w:wordWrap/>
              <w:overflowPunct/>
              <w:topLinePunct w:val="0"/>
              <w:autoSpaceDE/>
              <w:autoSpaceDN/>
              <w:bidi w:val="0"/>
              <w:adjustRightInd/>
              <w:snapToGrid/>
              <w:ind w:firstLine="480" w:firstLineChars="200"/>
              <w:jc w:val="left"/>
              <w:textAlignment w:val="auto"/>
              <w:rPr>
                <w:b w:val="0"/>
                <w:bCs w:val="0"/>
              </w:rPr>
            </w:pPr>
            <w:r>
              <w:rPr>
                <w:rFonts w:hint="eastAsia"/>
                <w:b w:val="0"/>
                <w:bCs w:val="0"/>
              </w:rPr>
              <w:t xml:space="preserve">□新闻发布会 </w:t>
            </w:r>
            <w:r>
              <w:rPr>
                <w:b w:val="0"/>
                <w:bCs w:val="0"/>
              </w:rPr>
              <w:t xml:space="preserve">     </w:t>
            </w:r>
            <w:r>
              <w:rPr>
                <w:rFonts w:hint="eastAsia"/>
                <w:b w:val="0"/>
                <w:bCs w:val="0"/>
                <w:lang w:eastAsia="zh-CN"/>
              </w:rPr>
              <w:t>□</w:t>
            </w:r>
            <w:r>
              <w:rPr>
                <w:rFonts w:hint="eastAsia"/>
                <w:b w:val="0"/>
                <w:bCs w:val="0"/>
              </w:rPr>
              <w:t>路演活动</w:t>
            </w:r>
          </w:p>
          <w:p w14:paraId="4B442AD2">
            <w:pPr>
              <w:keepNext w:val="0"/>
              <w:keepLines w:val="0"/>
              <w:pageBreakBefore w:val="0"/>
              <w:widowControl/>
              <w:kinsoku/>
              <w:wordWrap/>
              <w:overflowPunct/>
              <w:topLinePunct w:val="0"/>
              <w:autoSpaceDE/>
              <w:autoSpaceDN/>
              <w:bidi w:val="0"/>
              <w:adjustRightInd/>
              <w:snapToGrid/>
              <w:ind w:firstLine="480" w:firstLineChars="200"/>
              <w:jc w:val="left"/>
              <w:textAlignment w:val="auto"/>
              <w:rPr>
                <w:b w:val="0"/>
                <w:bCs w:val="0"/>
              </w:rPr>
            </w:pPr>
            <w:r>
              <w:rPr>
                <w:rFonts w:hint="eastAsia"/>
                <w:b w:val="0"/>
                <w:bCs w:val="0"/>
                <w:lang w:eastAsia="zh-CN"/>
              </w:rPr>
              <w:t>□</w:t>
            </w:r>
            <w:r>
              <w:rPr>
                <w:rFonts w:hint="eastAsia"/>
                <w:b w:val="0"/>
                <w:bCs w:val="0"/>
              </w:rPr>
              <w:t>现场参观</w:t>
            </w:r>
            <w:r>
              <w:rPr>
                <w:rFonts w:hint="eastAsia"/>
                <w:b w:val="0"/>
                <w:bCs w:val="0"/>
                <w:lang w:val="en-US" w:eastAsia="zh-CN"/>
              </w:rPr>
              <w:t xml:space="preserve">   □</w:t>
            </w:r>
            <w:r>
              <w:rPr>
                <w:rFonts w:hint="eastAsia"/>
                <w:b w:val="0"/>
                <w:bCs w:val="0"/>
              </w:rPr>
              <w:t>其他（</w:t>
            </w:r>
            <w:r>
              <w:rPr>
                <w:rFonts w:hint="eastAsia"/>
                <w:b w:val="0"/>
                <w:bCs w:val="0"/>
                <w:u w:val="thick"/>
              </w:rPr>
              <w:t>请文字说明其他活动内容</w:t>
            </w:r>
            <w:r>
              <w:rPr>
                <w:rFonts w:hint="eastAsia"/>
                <w:b w:val="0"/>
                <w:bCs w:val="0"/>
              </w:rPr>
              <w:t>）</w:t>
            </w:r>
          </w:p>
        </w:tc>
      </w:tr>
      <w:tr w14:paraId="3869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286" w:type="dxa"/>
            <w:vAlign w:val="center"/>
          </w:tcPr>
          <w:p w14:paraId="6E15A15F">
            <w:pPr>
              <w:jc w:val="center"/>
            </w:pPr>
            <w:r>
              <w:rPr>
                <w:rFonts w:hint="eastAsia"/>
              </w:rPr>
              <w:t>参与单位名称</w:t>
            </w:r>
          </w:p>
          <w:p w14:paraId="43A893A2">
            <w:pPr>
              <w:jc w:val="center"/>
            </w:pPr>
            <w:r>
              <w:rPr>
                <w:rFonts w:hint="eastAsia"/>
              </w:rPr>
              <w:t>（排名不分先后）</w:t>
            </w:r>
          </w:p>
        </w:tc>
        <w:tc>
          <w:tcPr>
            <w:tcW w:w="5903" w:type="dxa"/>
            <w:shd w:val="clear" w:color="auto" w:fill="auto"/>
            <w:vAlign w:val="center"/>
          </w:tcPr>
          <w:p w14:paraId="7E0806E9">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eastAsia="宋体" w:cs="宋体"/>
                <w:b w:val="0"/>
                <w:bCs w:val="0"/>
                <w:sz w:val="24"/>
                <w:szCs w:val="24"/>
                <w:lang w:val="en-US" w:eastAsia="zh-CN" w:bidi="ar-SA"/>
              </w:rPr>
            </w:pPr>
            <w:r>
              <w:rPr>
                <w:rFonts w:hint="eastAsia"/>
                <w:b w:val="0"/>
                <w:bCs w:val="0"/>
                <w:lang w:val="en-US" w:eastAsia="zh-CN"/>
              </w:rPr>
              <w:t>浙商</w:t>
            </w:r>
            <w:r>
              <w:rPr>
                <w:rFonts w:hint="eastAsia"/>
                <w:b w:val="0"/>
                <w:bCs w:val="0"/>
                <w:color w:val="auto"/>
                <w:lang w:val="en-US" w:eastAsia="zh-CN"/>
              </w:rPr>
              <w:t>证券、泰康资产</w:t>
            </w:r>
          </w:p>
        </w:tc>
      </w:tr>
      <w:tr w14:paraId="3339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86" w:type="dxa"/>
            <w:vAlign w:val="center"/>
          </w:tcPr>
          <w:p w14:paraId="47EE7C87">
            <w:pPr>
              <w:jc w:val="center"/>
            </w:pPr>
            <w:r>
              <w:rPr>
                <w:rFonts w:hint="eastAsia"/>
              </w:rPr>
              <w:t>时间</w:t>
            </w:r>
          </w:p>
        </w:tc>
        <w:tc>
          <w:tcPr>
            <w:tcW w:w="5903" w:type="dxa"/>
            <w:shd w:val="clear" w:color="auto" w:fill="auto"/>
            <w:vAlign w:val="center"/>
          </w:tcPr>
          <w:p w14:paraId="38725E1D">
            <w:pPr>
              <w:ind w:left="0" w:leftChars="0" w:firstLine="480" w:firstLineChars="200"/>
              <w:jc w:val="both"/>
              <w:rPr>
                <w:rFonts w:hint="default" w:ascii="宋体" w:hAnsi="宋体" w:eastAsia="宋体" w:cs="宋体"/>
                <w:b w:val="0"/>
                <w:bCs w:val="0"/>
                <w:sz w:val="24"/>
                <w:szCs w:val="24"/>
                <w:lang w:val="en-US" w:eastAsia="zh-CN" w:bidi="ar-SA"/>
              </w:rPr>
            </w:pPr>
            <w:r>
              <w:rPr>
                <w:rFonts w:hint="eastAsia"/>
                <w:b w:val="0"/>
                <w:bCs w:val="0"/>
              </w:rPr>
              <w:t>202</w:t>
            </w:r>
            <w:r>
              <w:rPr>
                <w:rFonts w:hint="eastAsia"/>
                <w:b w:val="0"/>
                <w:bCs w:val="0"/>
                <w:lang w:val="en-US" w:eastAsia="zh-CN"/>
              </w:rPr>
              <w:t>5</w:t>
            </w:r>
            <w:r>
              <w:rPr>
                <w:rFonts w:hint="eastAsia"/>
                <w:b w:val="0"/>
                <w:bCs w:val="0"/>
              </w:rPr>
              <w:t>年</w:t>
            </w:r>
            <w:r>
              <w:rPr>
                <w:rFonts w:hint="eastAsia"/>
                <w:b w:val="0"/>
                <w:bCs w:val="0"/>
                <w:lang w:val="en-US" w:eastAsia="zh-CN"/>
              </w:rPr>
              <w:t>7</w:t>
            </w:r>
            <w:r>
              <w:rPr>
                <w:rFonts w:hint="eastAsia"/>
                <w:b w:val="0"/>
                <w:bCs w:val="0"/>
              </w:rPr>
              <w:t>月</w:t>
            </w:r>
            <w:r>
              <w:rPr>
                <w:rFonts w:hint="eastAsia"/>
                <w:b w:val="0"/>
                <w:bCs w:val="0"/>
                <w:lang w:val="en-US" w:eastAsia="zh-CN"/>
              </w:rPr>
              <w:t>15日</w:t>
            </w:r>
          </w:p>
        </w:tc>
      </w:tr>
      <w:tr w14:paraId="4A4E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vAlign w:val="center"/>
          </w:tcPr>
          <w:p w14:paraId="6029F018">
            <w:pPr>
              <w:jc w:val="center"/>
            </w:pPr>
            <w:r>
              <w:rPr>
                <w:rFonts w:hint="eastAsia"/>
              </w:rPr>
              <w:t>上市公司接待人员</w:t>
            </w:r>
          </w:p>
          <w:p w14:paraId="2FE57A4C">
            <w:pPr>
              <w:jc w:val="center"/>
            </w:pPr>
            <w:r>
              <w:rPr>
                <w:rFonts w:hint="eastAsia"/>
              </w:rPr>
              <w:t>姓名</w:t>
            </w:r>
          </w:p>
        </w:tc>
        <w:tc>
          <w:tcPr>
            <w:tcW w:w="5903" w:type="dxa"/>
            <w:shd w:val="clear" w:color="auto" w:fill="auto"/>
            <w:vAlign w:val="top"/>
          </w:tcPr>
          <w:p w14:paraId="66BF116A">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default" w:eastAsia="宋体"/>
                <w:b w:val="0"/>
                <w:bCs w:val="0"/>
                <w:lang w:val="en-US" w:eastAsia="zh-CN"/>
              </w:rPr>
            </w:pPr>
            <w:r>
              <w:rPr>
                <w:rFonts w:hint="eastAsia"/>
                <w:b w:val="0"/>
                <w:bCs w:val="0"/>
                <w:lang w:val="en-US" w:eastAsia="zh-CN"/>
              </w:rPr>
              <w:t>董事长/总经理：谢东</w:t>
            </w:r>
          </w:p>
          <w:p w14:paraId="3C08E0C2">
            <w:pPr>
              <w:keepNext w:val="0"/>
              <w:keepLines w:val="0"/>
              <w:pageBreakBefore w:val="0"/>
              <w:widowControl/>
              <w:kinsoku/>
              <w:wordWrap/>
              <w:overflowPunct/>
              <w:topLinePunct w:val="0"/>
              <w:autoSpaceDE/>
              <w:autoSpaceDN/>
              <w:bidi w:val="0"/>
              <w:adjustRightInd/>
              <w:snapToGrid/>
              <w:ind w:left="0" w:leftChars="0" w:firstLine="480" w:firstLineChars="200"/>
              <w:jc w:val="left"/>
              <w:textAlignment w:val="auto"/>
              <w:rPr>
                <w:rFonts w:hint="eastAsia"/>
                <w:b w:val="0"/>
                <w:bCs w:val="0"/>
              </w:rPr>
            </w:pPr>
            <w:r>
              <w:rPr>
                <w:rFonts w:hint="eastAsia"/>
                <w:b w:val="0"/>
                <w:bCs w:val="0"/>
              </w:rPr>
              <w:t>董事/副总/董秘：张艳萍</w:t>
            </w:r>
          </w:p>
          <w:p w14:paraId="16079667">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b w:val="0"/>
                <w:bCs w:val="0"/>
                <w:lang w:val="en-US" w:eastAsia="zh-CN"/>
              </w:rPr>
            </w:pPr>
            <w:r>
              <w:rPr>
                <w:rFonts w:hint="eastAsia"/>
                <w:b w:val="0"/>
                <w:bCs w:val="0"/>
                <w:lang w:val="en-US" w:eastAsia="zh-CN"/>
              </w:rPr>
              <w:t>董事：陆俊英</w:t>
            </w:r>
          </w:p>
          <w:p w14:paraId="489733B8">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eastAsia="宋体" w:cs="宋体"/>
                <w:b w:val="0"/>
                <w:bCs w:val="0"/>
                <w:sz w:val="24"/>
                <w:szCs w:val="24"/>
                <w:lang w:val="en-US" w:eastAsia="zh-CN" w:bidi="ar-SA"/>
              </w:rPr>
            </w:pPr>
            <w:r>
              <w:rPr>
                <w:rFonts w:hint="eastAsia"/>
                <w:b w:val="0"/>
                <w:bCs w:val="0"/>
                <w:lang w:val="en-US" w:eastAsia="zh-CN"/>
              </w:rPr>
              <w:t>投关总监：潘文韬</w:t>
            </w:r>
          </w:p>
        </w:tc>
      </w:tr>
      <w:tr w14:paraId="5232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2286" w:type="dxa"/>
            <w:vAlign w:val="center"/>
          </w:tcPr>
          <w:p w14:paraId="37A7996B">
            <w:pPr>
              <w:jc w:val="center"/>
            </w:pPr>
          </w:p>
          <w:p w14:paraId="630BB9DA">
            <w:pPr>
              <w:jc w:val="center"/>
            </w:pPr>
          </w:p>
          <w:p w14:paraId="528ADEED">
            <w:pPr>
              <w:jc w:val="center"/>
            </w:pPr>
          </w:p>
          <w:p w14:paraId="5ED20B69">
            <w:pPr>
              <w:jc w:val="center"/>
            </w:pPr>
            <w:r>
              <w:rPr>
                <w:rFonts w:hint="eastAsia"/>
              </w:rPr>
              <w:t>投资者关系活动主要内容介绍</w:t>
            </w:r>
          </w:p>
        </w:tc>
        <w:tc>
          <w:tcPr>
            <w:tcW w:w="5903" w:type="dxa"/>
            <w:shd w:val="clear" w:color="auto" w:fill="auto"/>
            <w:vAlign w:val="top"/>
          </w:tcPr>
          <w:p w14:paraId="035F743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eastAsia="宋体"/>
                <w:b w:val="0"/>
                <w:bCs w:val="0"/>
                <w:lang w:val="en-US" w:eastAsia="zh-CN"/>
              </w:rPr>
            </w:pPr>
            <w:r>
              <w:rPr>
                <w:rFonts w:hint="eastAsia"/>
                <w:b w:val="0"/>
                <w:bCs w:val="0"/>
              </w:rPr>
              <w:t>Q：公司</w:t>
            </w:r>
            <w:r>
              <w:rPr>
                <w:rFonts w:hint="eastAsia"/>
                <w:b w:val="0"/>
                <w:bCs w:val="0"/>
                <w:lang w:val="en-US" w:eastAsia="zh-CN"/>
              </w:rPr>
              <w:t>主营业务介绍</w:t>
            </w:r>
          </w:p>
          <w:p w14:paraId="38476336">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b w:val="0"/>
                <w:bCs w:val="0"/>
                <w:lang w:val="en-US" w:eastAsia="zh-CN"/>
              </w:rPr>
            </w:pPr>
            <w:r>
              <w:rPr>
                <w:rFonts w:hint="eastAsia"/>
                <w:b w:val="0"/>
                <w:bCs w:val="0"/>
              </w:rPr>
              <w:t>A：公司立足于新型电力系统，聚焦电力物联网建设，专业从事电网数字化智能感知产品、储能系统及钙钛矿光伏组件的研发、生产和销售，并提供电力相关技术解决方案，已经形成了覆盖“发电、输电、变电、配电”及“高压、超高压、特高压”的数十种系列产品，同时公司已延伸布局机器人六维力传感器等核心高附加值部件相关业务。</w:t>
            </w:r>
          </w:p>
          <w:p w14:paraId="3111A77F">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b w:val="0"/>
                <w:bCs w:val="0"/>
                <w:lang w:val="en-US" w:eastAsia="zh-CN"/>
              </w:rPr>
            </w:pPr>
            <w:r>
              <w:rPr>
                <w:rFonts w:hint="eastAsia"/>
                <w:b w:val="0"/>
                <w:bCs w:val="0"/>
                <w:lang w:val="en-US" w:eastAsia="zh-CN"/>
              </w:rPr>
              <w:t>公司自研的</w:t>
            </w:r>
            <w:r>
              <w:rPr>
                <w:rFonts w:hint="default"/>
                <w:b w:val="0"/>
                <w:bCs w:val="0"/>
                <w:lang w:val="en-US" w:eastAsia="zh-CN"/>
              </w:rPr>
              <w:t>110kV-1000kV大型电力变压器振动监测与故障诊断装备</w:t>
            </w:r>
            <w:r>
              <w:rPr>
                <w:rFonts w:hint="eastAsia"/>
                <w:b w:val="0"/>
                <w:bCs w:val="0"/>
                <w:lang w:val="en-US" w:eastAsia="zh-CN"/>
              </w:rPr>
              <w:t>，同样成功荣获国内首台（套）装备认定。该产品结合FCA、DET、MPC、EDR等四大核心算法，基于振动信号识别换流变压器故障，填补了变压器机械失稳在线监测行业技术空白。公司的另一款领军产品为GIS特高频在线监测装置，为国家重点新产品，其具备的超/特高压多源放电分离识别技术经鉴定为国际领先，平均局放检出精度为14.6mm，较英国DMS精度10mm提升超40%。</w:t>
            </w:r>
          </w:p>
          <w:p w14:paraId="0EED6D1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b w:val="0"/>
                <w:bCs w:val="0"/>
              </w:rPr>
            </w:pPr>
            <w:r>
              <w:rPr>
                <w:rFonts w:hint="eastAsia"/>
                <w:b w:val="0"/>
                <w:bCs w:val="0"/>
              </w:rPr>
              <w:t>公司深度参与新型电力系统建设，重点推进钙钛矿光伏组件产业化及储能系统集成业务，形成覆盖“源、网、荷、储”全链路的能源全场景解决方案，为构建绿色低碳电力体系提供关键支撑。基于“发电、输电、变电、配电”全环节产品矩阵的竞争优势，公司加速延伸新能源产业链条：钙钛矿光伏组件获得兆瓦级商业</w:t>
            </w:r>
            <w:r>
              <w:rPr>
                <w:rFonts w:hint="eastAsia"/>
                <w:b w:val="0"/>
                <w:bCs w:val="0"/>
                <w:lang w:val="en-US" w:eastAsia="zh-CN"/>
              </w:rPr>
              <w:t>订</w:t>
            </w:r>
            <w:r>
              <w:rPr>
                <w:rFonts w:hint="eastAsia"/>
                <w:b w:val="0"/>
                <w:bCs w:val="0"/>
              </w:rPr>
              <w:t>单，储能业务实现省外多项目规模化落地。</w:t>
            </w:r>
          </w:p>
          <w:p w14:paraId="54CB1F46">
            <w:pPr>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b w:val="0"/>
                <w:bCs w:val="0"/>
              </w:rPr>
            </w:pPr>
          </w:p>
          <w:p w14:paraId="0D5CD3D9">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eastAsia="宋体"/>
                <w:b w:val="0"/>
                <w:bCs w:val="0"/>
                <w:lang w:val="en-US" w:eastAsia="zh-CN"/>
              </w:rPr>
            </w:pPr>
            <w:r>
              <w:rPr>
                <w:rFonts w:hint="eastAsia"/>
                <w:b w:val="0"/>
                <w:bCs w:val="0"/>
              </w:rPr>
              <w:t>Q：公司六维力传感器</w:t>
            </w:r>
            <w:r>
              <w:rPr>
                <w:rFonts w:hint="eastAsia"/>
                <w:b w:val="0"/>
                <w:bCs w:val="0"/>
                <w:lang w:val="en-US" w:eastAsia="zh-CN"/>
              </w:rPr>
              <w:t>的研发优势与进展</w:t>
            </w:r>
          </w:p>
          <w:p w14:paraId="2E9B9C1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b w:val="0"/>
                <w:bCs w:val="0"/>
              </w:rPr>
            </w:pPr>
            <w:r>
              <w:rPr>
                <w:rFonts w:hint="eastAsia"/>
                <w:b w:val="0"/>
                <w:bCs w:val="0"/>
              </w:rPr>
              <w:t>A：公司主业电气智能感知设备是由智能传感器+数字化平台组成，已陆续开发了覆盖声、电、光、磁、热、气等数十种传感器，积累了丰富的传感器开发及应用经验，广泛用于</w:t>
            </w:r>
            <w:r>
              <w:rPr>
                <w:rFonts w:hint="eastAsia"/>
                <w:b w:val="0"/>
                <w:bCs w:val="0"/>
                <w:lang w:eastAsia="zh-CN"/>
              </w:rPr>
              <w:t>“</w:t>
            </w:r>
            <w:r>
              <w:rPr>
                <w:rFonts w:hint="eastAsia"/>
                <w:b w:val="0"/>
                <w:bCs w:val="0"/>
              </w:rPr>
              <w:t>高压、超高压、特高压</w:t>
            </w:r>
            <w:r>
              <w:rPr>
                <w:rFonts w:hint="eastAsia"/>
                <w:b w:val="0"/>
                <w:bCs w:val="0"/>
                <w:lang w:eastAsia="zh-CN"/>
              </w:rPr>
              <w:t>”</w:t>
            </w:r>
            <w:r>
              <w:rPr>
                <w:rFonts w:hint="eastAsia"/>
                <w:b w:val="0"/>
                <w:bCs w:val="0"/>
                <w:lang w:val="en-US" w:eastAsia="zh-CN"/>
              </w:rPr>
              <w:t>等</w:t>
            </w:r>
            <w:r>
              <w:rPr>
                <w:rFonts w:hint="eastAsia"/>
                <w:b w:val="0"/>
                <w:bCs w:val="0"/>
              </w:rPr>
              <w:t>各类电气设备感知，其灵敏度和精度及其可靠性要求较高。</w:t>
            </w:r>
          </w:p>
          <w:p w14:paraId="71C5365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b w:val="0"/>
                <w:bCs w:val="0"/>
                <w:lang w:val="en-US" w:eastAsia="zh-CN"/>
              </w:rPr>
            </w:pPr>
            <w:r>
              <w:rPr>
                <w:rFonts w:hint="eastAsia"/>
                <w:b w:val="0"/>
                <w:bCs w:val="0"/>
                <w:lang w:val="en-US" w:eastAsia="zh-CN"/>
              </w:rPr>
              <w:t>六维力传感器的研发难点主要集中于内部硬件结构设计的优化，以及更高要求的软件算法匹配等两大方面。国内传统车规级力传感器厂商往往在硬件结构设计上积累了较丰富的研发经验，而公司在力位传感器的解耦算法、多维数据处理能力和微弱信号采集等软件算法匹配层面，具有更丰富的人才与技术储备。公司凭借十多年传感器研发及应用的核心优势，已成功研发多款六维力传感器产品，并于近期完成了产品疲劳度内测，其灵敏度和精度及一致性等关键参数的测试结果符合设定预期，近期正积极推进下游多家头部目标客户的适配送样。</w:t>
            </w:r>
          </w:p>
          <w:p w14:paraId="35AE738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b w:val="0"/>
                <w:bCs w:val="0"/>
                <w:lang w:val="en-US" w:eastAsia="zh-CN"/>
              </w:rPr>
            </w:pPr>
            <w:bookmarkStart w:id="0" w:name="_GoBack"/>
            <w:bookmarkEnd w:id="0"/>
          </w:p>
          <w:p w14:paraId="307A2D61">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eastAsia="宋体"/>
                <w:b w:val="0"/>
                <w:bCs w:val="0"/>
                <w:lang w:val="en-US" w:eastAsia="zh-CN"/>
              </w:rPr>
            </w:pPr>
            <w:r>
              <w:rPr>
                <w:rFonts w:hint="eastAsia"/>
                <w:b w:val="0"/>
                <w:bCs w:val="0"/>
              </w:rPr>
              <w:t>Q：公司</w:t>
            </w:r>
            <w:r>
              <w:rPr>
                <w:rFonts w:hint="eastAsia"/>
                <w:b w:val="0"/>
                <w:bCs w:val="0"/>
                <w:lang w:val="en-US" w:eastAsia="zh-CN"/>
              </w:rPr>
              <w:t>钙钛矿光伏组件业务的最新进展</w:t>
            </w:r>
          </w:p>
          <w:p w14:paraId="62F8BA2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val="0"/>
                <w:sz w:val="24"/>
                <w:szCs w:val="24"/>
                <w:lang w:val="en-US" w:eastAsia="zh-CN" w:bidi="ar-SA"/>
              </w:rPr>
            </w:pPr>
            <w:r>
              <w:rPr>
                <w:rFonts w:hint="eastAsia"/>
                <w:b w:val="0"/>
                <w:bCs w:val="0"/>
              </w:rPr>
              <w:t>A：公司钙钛矿大面积组件的光电转换效率已达到行业先进水平，并已顺利通过德国TÜV的IEC61215、61730全套序列测试认证。公司已于今年3月正式签订杭州市钱塘区国产宽体客机零部件生产厂房分布式光伏钙钛矿组件采购合同，安装面积约10万㎡，是公司钙钛矿组件首次实现MW级场景的商业化应用，标志着公司在钙钛矿领域业已具备产业化的技术实力。</w:t>
            </w:r>
          </w:p>
        </w:tc>
      </w:tr>
      <w:tr w14:paraId="2F3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14:paraId="1DFAFDF0"/>
          <w:p w14:paraId="33D06E0F">
            <w:pPr>
              <w:jc w:val="center"/>
            </w:pPr>
            <w:r>
              <w:rPr>
                <w:rFonts w:hint="eastAsia"/>
              </w:rPr>
              <w:t>附件清单（如有）</w:t>
            </w:r>
          </w:p>
          <w:p w14:paraId="582DBA58"/>
        </w:tc>
        <w:tc>
          <w:tcPr>
            <w:tcW w:w="5903" w:type="dxa"/>
            <w:vAlign w:val="top"/>
          </w:tcPr>
          <w:p w14:paraId="1B6C673A">
            <w:pPr>
              <w:jc w:val="left"/>
              <w:rPr>
                <w:b w:val="0"/>
                <w:bCs w:val="0"/>
              </w:rPr>
            </w:pPr>
          </w:p>
          <w:p w14:paraId="5BB4C4C9">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eastAsia="宋体"/>
                <w:b w:val="0"/>
                <w:bCs w:val="0"/>
                <w:lang w:eastAsia="zh-CN"/>
              </w:rPr>
            </w:pPr>
            <w:r>
              <w:rPr>
                <w:rFonts w:hint="eastAsia"/>
                <w:b w:val="0"/>
                <w:bCs w:val="0"/>
              </w:rPr>
              <w:t>无</w:t>
            </w:r>
          </w:p>
        </w:tc>
      </w:tr>
    </w:tbl>
    <w:p w14:paraId="65F3C2B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2521C"/>
    <w:rsid w:val="0C127239"/>
    <w:rsid w:val="0C617718"/>
    <w:rsid w:val="12E143DD"/>
    <w:rsid w:val="196551DD"/>
    <w:rsid w:val="1A915A23"/>
    <w:rsid w:val="3CC2521C"/>
    <w:rsid w:val="41274777"/>
    <w:rsid w:val="467957E9"/>
    <w:rsid w:val="4E09538B"/>
    <w:rsid w:val="5116025C"/>
    <w:rsid w:val="5A0B696B"/>
    <w:rsid w:val="5DC75803"/>
    <w:rsid w:val="5FC123DD"/>
    <w:rsid w:val="6F843D4F"/>
    <w:rsid w:val="6FE765C8"/>
    <w:rsid w:val="7C4D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b/>
      <w:bCs/>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1252</Words>
  <Characters>1315</Characters>
  <Lines>0</Lines>
  <Paragraphs>0</Paragraphs>
  <TotalTime>5</TotalTime>
  <ScaleCrop>false</ScaleCrop>
  <LinksUpToDate>false</LinksUpToDate>
  <CharactersWithSpaces>1356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2025-07-16T08:13:00Z</dcterms:created>
  <dc:creator>梨呀</dc:creator>
  <cp:lastModifiedBy>梨呀</cp:lastModifiedBy>
  <dcterms:modified xsi:type="dcterms:W3CDTF">2025-07-16T08:21:18Z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F48FC6924161454FA8CFB712AE6D176A_11</vt:lpwstr>
  </property>
  <property fmtid="{D5CDD505-2E9C-101B-9397-08002B2CF9AE}" pid="4" name="KSOTemplateDocerSaveRecord">
    <vt:lpwstr>eyJoZGlkIjoiZTI0ZGVhZjgwMjRjNzQ0Nzc5ZTA2NTQxNDI1M2I4MDUiLCJ1c2VySWQiOiI4ODA1OTczODAifQ==</vt:lpwstr>
  </property>
</Properties>
</file>