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1A7D60">
      <w:pPr>
        <w:pStyle w:val="4"/>
        <w:spacing w:before="1" w:line="480" w:lineRule="exact"/>
        <w:ind w:left="0" w:right="453" w:firstLine="241" w:firstLineChars="100"/>
        <w:rPr>
          <w:rFonts w:hint="eastAsia"/>
          <w:b/>
          <w:lang w:val="en-US"/>
        </w:rPr>
      </w:pPr>
      <w:r>
        <w:rPr>
          <w:b/>
        </w:rPr>
        <w:t>证券代码：</w:t>
      </w:r>
      <w:r>
        <w:rPr>
          <w:rFonts w:ascii="Times New Roman" w:eastAsia="Times New Roman"/>
          <w:b/>
        </w:rPr>
        <w:t>6</w:t>
      </w:r>
      <w:r>
        <w:rPr>
          <w:rFonts w:hint="eastAsia" w:ascii="Times New Roman"/>
          <w:b/>
          <w:lang w:val="en-US"/>
        </w:rPr>
        <w:t>03477</w:t>
      </w:r>
      <w:r>
        <w:rPr>
          <w:rFonts w:ascii="Times New Roman" w:eastAsia="等线"/>
          <w:b/>
        </w:rPr>
        <w:t xml:space="preserve">                             </w:t>
      </w:r>
      <w:r>
        <w:rPr>
          <w:b/>
        </w:rPr>
        <w:t>证券简称：</w:t>
      </w:r>
      <w:r>
        <w:rPr>
          <w:rFonts w:hint="eastAsia"/>
          <w:b/>
          <w:lang w:val="en-US"/>
        </w:rPr>
        <w:t>巨星农牧</w:t>
      </w:r>
    </w:p>
    <w:p w14:paraId="7217F422">
      <w:pPr>
        <w:pStyle w:val="4"/>
        <w:spacing w:before="1" w:line="480" w:lineRule="exact"/>
        <w:ind w:left="0" w:right="453" w:firstLine="241" w:firstLineChars="100"/>
        <w:rPr>
          <w:rFonts w:hint="eastAsia"/>
          <w:b/>
          <w:lang w:val="en-US"/>
        </w:rPr>
      </w:pPr>
      <w:r>
        <w:rPr>
          <w:rFonts w:hint="eastAsia"/>
          <w:b/>
          <w:lang w:val="en-US"/>
        </w:rPr>
        <w:t>债券代码：</w:t>
      </w:r>
      <w:r>
        <w:rPr>
          <w:rFonts w:hint="eastAsia" w:ascii="Times New Roman"/>
          <w:b/>
          <w:lang w:val="en-US"/>
        </w:rPr>
        <w:t>113648</w:t>
      </w:r>
      <w:r>
        <w:rPr>
          <w:rFonts w:hint="eastAsia"/>
          <w:b/>
          <w:lang w:val="en-US"/>
        </w:rPr>
        <w:t xml:space="preserve">                             债券简称：巨星转债</w:t>
      </w:r>
    </w:p>
    <w:p w14:paraId="7833DA00">
      <w:pPr>
        <w:pStyle w:val="4"/>
        <w:spacing w:before="1" w:line="480" w:lineRule="exact"/>
        <w:ind w:left="0" w:right="453"/>
        <w:rPr>
          <w:rFonts w:hint="eastAsia"/>
          <w:b/>
        </w:rPr>
      </w:pPr>
    </w:p>
    <w:p w14:paraId="13D2A4FC">
      <w:pPr>
        <w:pStyle w:val="4"/>
        <w:spacing w:before="1" w:line="480" w:lineRule="exact"/>
        <w:ind w:right="453" w:firstLine="479"/>
        <w:jc w:val="center"/>
        <w:rPr>
          <w:rFonts w:hint="eastAsia"/>
          <w:b/>
          <w:bCs/>
          <w:sz w:val="36"/>
          <w:szCs w:val="36"/>
        </w:rPr>
      </w:pPr>
      <w:r>
        <w:rPr>
          <w:rFonts w:hint="eastAsia"/>
          <w:b/>
          <w:bCs/>
          <w:sz w:val="36"/>
          <w:szCs w:val="36"/>
          <w:lang w:val="en-US"/>
        </w:rPr>
        <w:t>乐山巨星农牧</w:t>
      </w:r>
      <w:r>
        <w:rPr>
          <w:b/>
          <w:bCs/>
          <w:sz w:val="36"/>
          <w:szCs w:val="36"/>
        </w:rPr>
        <w:t>股份有限公司</w:t>
      </w:r>
    </w:p>
    <w:p w14:paraId="59ACE4DC">
      <w:pPr>
        <w:pStyle w:val="4"/>
        <w:spacing w:before="1" w:line="480" w:lineRule="exact"/>
        <w:ind w:right="453" w:firstLine="479"/>
        <w:jc w:val="center"/>
        <w:rPr>
          <w:rFonts w:hint="eastAsia"/>
          <w:b/>
          <w:bCs/>
          <w:sz w:val="36"/>
          <w:szCs w:val="36"/>
        </w:rPr>
      </w:pPr>
      <w:r>
        <w:rPr>
          <w:b/>
          <w:bCs/>
          <w:sz w:val="36"/>
          <w:szCs w:val="36"/>
        </w:rPr>
        <w:t>投资者关系活动记录表</w:t>
      </w:r>
    </w:p>
    <w:p w14:paraId="566268F4">
      <w:pPr>
        <w:tabs>
          <w:tab w:val="left" w:pos="6306"/>
        </w:tabs>
        <w:spacing w:before="74" w:line="480" w:lineRule="exact"/>
        <w:rPr>
          <w:rFonts w:hint="eastAsia" w:eastAsia="等线"/>
          <w:b/>
          <w:bCs/>
          <w:sz w:val="21"/>
          <w:szCs w:val="21"/>
        </w:rPr>
      </w:pPr>
    </w:p>
    <w:tbl>
      <w:tblPr>
        <w:tblStyle w:val="9"/>
        <w:tblW w:w="6618"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2573"/>
        <w:gridCol w:w="2395"/>
        <w:gridCol w:w="3470"/>
        <w:gridCol w:w="2596"/>
      </w:tblGrid>
      <w:tr w14:paraId="6C76337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35" w:hRule="atLeast"/>
          <w:jc w:val="center"/>
        </w:trPr>
        <w:tc>
          <w:tcPr>
            <w:tcW w:w="1166" w:type="pct"/>
            <w:tcBorders>
              <w:bottom w:val="single" w:color="000000" w:sz="6" w:space="0"/>
              <w:right w:val="single" w:color="000000" w:sz="6" w:space="0"/>
            </w:tcBorders>
            <w:vAlign w:val="center"/>
          </w:tcPr>
          <w:p w14:paraId="0937FD25">
            <w:pPr>
              <w:pStyle w:val="15"/>
              <w:spacing w:line="480" w:lineRule="exact"/>
              <w:ind w:firstLine="221" w:firstLineChars="100"/>
              <w:rPr>
                <w:rFonts w:hint="eastAsia"/>
                <w:b/>
                <w:bCs/>
              </w:rPr>
            </w:pPr>
            <w:r>
              <w:rPr>
                <w:rFonts w:hint="eastAsia"/>
                <w:b/>
                <w:bCs/>
              </w:rPr>
              <w:t>投资者关系活动类别</w:t>
            </w:r>
          </w:p>
        </w:tc>
        <w:tc>
          <w:tcPr>
            <w:tcW w:w="1085" w:type="pct"/>
            <w:tcBorders>
              <w:left w:val="single" w:color="000000" w:sz="6" w:space="0"/>
              <w:bottom w:val="single" w:color="000000" w:sz="6" w:space="0"/>
              <w:right w:val="nil"/>
            </w:tcBorders>
          </w:tcPr>
          <w:p w14:paraId="27832B7E">
            <w:pPr>
              <w:pStyle w:val="15"/>
              <w:spacing w:line="480" w:lineRule="exact"/>
              <w:rPr>
                <w:rFonts w:hint="eastAsia"/>
              </w:rPr>
            </w:pPr>
            <w:r>
              <w:rPr/>
              <w:sym w:font="Wingdings 2" w:char="00A3"/>
            </w:r>
            <w:r>
              <w:t xml:space="preserve">特定对象调研 </w:t>
            </w:r>
          </w:p>
          <w:p w14:paraId="19E1EDA0">
            <w:pPr>
              <w:pStyle w:val="15"/>
              <w:spacing w:line="480" w:lineRule="exact"/>
              <w:rPr>
                <w:rFonts w:hint="eastAsia"/>
              </w:rPr>
            </w:pPr>
            <w:r>
              <w:rPr/>
              <w:sym w:font="Wingdings 2" w:char="00A3"/>
            </w:r>
            <w:r>
              <w:t xml:space="preserve">业绩说明会 </w:t>
            </w:r>
          </w:p>
          <w:p w14:paraId="594CD914">
            <w:pPr>
              <w:pStyle w:val="15"/>
              <w:spacing w:line="480" w:lineRule="exact"/>
              <w:rPr>
                <w:rFonts w:hint="eastAsia"/>
              </w:rPr>
            </w:pPr>
            <w:r>
              <w:rPr/>
              <w:sym w:font="Wingdings 2" w:char="0052"/>
            </w:r>
            <w:r>
              <w:t xml:space="preserve">现场参观 </w:t>
            </w:r>
          </w:p>
        </w:tc>
        <w:tc>
          <w:tcPr>
            <w:tcW w:w="1572" w:type="pct"/>
            <w:tcBorders>
              <w:left w:val="nil"/>
              <w:bottom w:val="single" w:color="000000" w:sz="6" w:space="0"/>
              <w:right w:val="nil"/>
            </w:tcBorders>
          </w:tcPr>
          <w:p w14:paraId="4048AE7B">
            <w:pPr>
              <w:pStyle w:val="15"/>
              <w:spacing w:line="480" w:lineRule="exact"/>
              <w:rPr>
                <w:rFonts w:hint="eastAsia"/>
              </w:rPr>
            </w:pPr>
            <w:r>
              <w:rPr/>
              <w:sym w:font="Wingdings 2" w:char="00A3"/>
            </w:r>
            <w:r>
              <w:t xml:space="preserve">分析师会议 </w:t>
            </w:r>
          </w:p>
          <w:p w14:paraId="5D5800CE">
            <w:pPr>
              <w:pStyle w:val="15"/>
              <w:spacing w:line="480" w:lineRule="exact"/>
              <w:rPr>
                <w:rFonts w:hint="eastAsia"/>
              </w:rPr>
            </w:pPr>
            <w:r>
              <w:t xml:space="preserve">□新闻发布会 </w:t>
            </w:r>
          </w:p>
          <w:p w14:paraId="1C235BFD">
            <w:pPr>
              <w:pStyle w:val="15"/>
              <w:spacing w:line="480" w:lineRule="exact"/>
              <w:rPr>
                <w:rFonts w:hint="eastAsia"/>
                <w:lang w:val="en-US"/>
              </w:rPr>
            </w:pPr>
            <w:r>
              <w:rPr/>
              <w:sym w:font="Wingdings 2" w:char="0052"/>
            </w:r>
            <w:r>
              <w:t>其他</w:t>
            </w:r>
            <w:r>
              <w:rPr>
                <w:rFonts w:hint="eastAsia"/>
              </w:rPr>
              <w:t>（“我是股东”投资者走进</w:t>
            </w:r>
            <w:r>
              <w:rPr>
                <w:rFonts w:hint="eastAsia"/>
                <w:lang w:val="en-US" w:eastAsia="zh-CN"/>
              </w:rPr>
              <w:t>沪市</w:t>
            </w:r>
            <w:r>
              <w:rPr>
                <w:rFonts w:hint="eastAsia"/>
              </w:rPr>
              <w:t>上市公司</w:t>
            </w:r>
            <w:r>
              <w:rPr>
                <w:rFonts w:hint="eastAsia"/>
                <w:b w:val="0"/>
                <w:bCs w:val="0"/>
                <w:lang w:val="en-US"/>
              </w:rPr>
              <w:t>-</w:t>
            </w:r>
            <w:r>
              <w:rPr>
                <w:rFonts w:hint="eastAsia"/>
                <w:b w:val="0"/>
                <w:bCs w:val="0"/>
                <w:lang w:val="en-US" w:eastAsia="zh-CN"/>
              </w:rPr>
              <w:t>巨星农牧</w:t>
            </w:r>
            <w:r>
              <w:rPr>
                <w:rFonts w:hint="eastAsia"/>
              </w:rPr>
              <w:t>）</w:t>
            </w:r>
            <w:r>
              <w:rPr>
                <w:rFonts w:hint="eastAsia"/>
                <w:lang w:val="en-US"/>
              </w:rPr>
              <w:t xml:space="preserve">       </w:t>
            </w:r>
          </w:p>
        </w:tc>
        <w:tc>
          <w:tcPr>
            <w:tcW w:w="1176" w:type="pct"/>
            <w:tcBorders>
              <w:left w:val="nil"/>
              <w:bottom w:val="single" w:color="000000" w:sz="6" w:space="0"/>
            </w:tcBorders>
          </w:tcPr>
          <w:p w14:paraId="6968F6C6">
            <w:pPr>
              <w:pStyle w:val="15"/>
              <w:spacing w:line="480" w:lineRule="exact"/>
              <w:rPr>
                <w:rFonts w:hint="eastAsia"/>
              </w:rPr>
            </w:pPr>
            <w:r>
              <w:rPr/>
              <w:sym w:font="Wingdings 2" w:char="00A3"/>
            </w:r>
            <w:r>
              <w:t>媒</w:t>
            </w:r>
            <w:r>
              <w:rPr>
                <w:rFonts w:hint="eastAsia"/>
              </w:rPr>
              <w:t>体采访</w:t>
            </w:r>
          </w:p>
          <w:p w14:paraId="382D6AEA">
            <w:pPr>
              <w:pStyle w:val="15"/>
              <w:spacing w:line="480" w:lineRule="exact"/>
              <w:rPr>
                <w:rFonts w:hint="eastAsia"/>
                <w:lang w:val="en-US"/>
              </w:rPr>
            </w:pPr>
            <w:r>
              <w:rPr/>
              <w:sym w:font="Wingdings 2" w:char="00A3"/>
            </w:r>
            <w:r>
              <w:t>路</w:t>
            </w:r>
            <w:r>
              <w:rPr>
                <w:rFonts w:hint="eastAsia"/>
              </w:rPr>
              <w:t>演</w:t>
            </w:r>
            <w:r>
              <w:t xml:space="preserve">活动 </w:t>
            </w:r>
          </w:p>
          <w:p w14:paraId="5E378F1C">
            <w:pPr>
              <w:pStyle w:val="15"/>
              <w:spacing w:line="480" w:lineRule="exact"/>
              <w:rPr>
                <w:rFonts w:hint="eastAsia"/>
              </w:rPr>
            </w:pPr>
          </w:p>
        </w:tc>
      </w:tr>
      <w:tr w14:paraId="1385343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34" w:hRule="atLeast"/>
          <w:jc w:val="center"/>
        </w:trPr>
        <w:tc>
          <w:tcPr>
            <w:tcW w:w="1166" w:type="pct"/>
            <w:tcBorders>
              <w:top w:val="single" w:color="000000" w:sz="6" w:space="0"/>
              <w:bottom w:val="single" w:color="000000" w:sz="6" w:space="0"/>
              <w:right w:val="single" w:color="000000" w:sz="6" w:space="0"/>
            </w:tcBorders>
            <w:vAlign w:val="center"/>
          </w:tcPr>
          <w:p w14:paraId="4F1E156F">
            <w:pPr>
              <w:pStyle w:val="15"/>
              <w:spacing w:line="480" w:lineRule="exact"/>
              <w:ind w:firstLine="221" w:firstLineChars="100"/>
              <w:rPr>
                <w:rFonts w:hint="eastAsia"/>
                <w:b/>
                <w:bCs/>
              </w:rPr>
            </w:pPr>
            <w:r>
              <w:rPr>
                <w:rFonts w:hint="eastAsia"/>
                <w:b/>
                <w:bCs/>
              </w:rPr>
              <w:t>参与单位</w:t>
            </w:r>
          </w:p>
        </w:tc>
        <w:tc>
          <w:tcPr>
            <w:tcW w:w="3833" w:type="pct"/>
            <w:gridSpan w:val="3"/>
            <w:tcBorders>
              <w:top w:val="single" w:color="000000" w:sz="6" w:space="0"/>
              <w:left w:val="single" w:color="000000" w:sz="6" w:space="0"/>
              <w:bottom w:val="single" w:color="000000" w:sz="6" w:space="0"/>
            </w:tcBorders>
            <w:vAlign w:val="center"/>
          </w:tcPr>
          <w:p w14:paraId="41949B9F">
            <w:pPr>
              <w:pStyle w:val="15"/>
              <w:spacing w:line="460" w:lineRule="exact"/>
              <w:ind w:right="227"/>
              <w:jc w:val="both"/>
              <w:rPr>
                <w:rFonts w:hint="eastAsia"/>
                <w:lang w:val="en-US"/>
              </w:rPr>
            </w:pPr>
            <w:r>
              <w:rPr>
                <w:rFonts w:hint="eastAsia"/>
                <w:b w:val="0"/>
                <w:bCs w:val="0"/>
                <w:lang w:val="en-US" w:eastAsia="zh-CN"/>
              </w:rPr>
              <w:t>四川省上市公司协会、</w:t>
            </w:r>
            <w:r>
              <w:rPr>
                <w:rFonts w:hint="eastAsia"/>
                <w:b w:val="0"/>
                <w:bCs w:val="0"/>
                <w:lang w:val="en-US"/>
              </w:rPr>
              <w:t>国金证券股份有限公司及参与“我是股东”走进</w:t>
            </w:r>
            <w:r>
              <w:rPr>
                <w:rFonts w:hint="eastAsia"/>
                <w:b w:val="0"/>
                <w:bCs w:val="0"/>
                <w:lang w:val="en-US" w:eastAsia="zh-CN"/>
              </w:rPr>
              <w:t>沪市</w:t>
            </w:r>
            <w:r>
              <w:rPr>
                <w:rFonts w:hint="eastAsia"/>
                <w:b w:val="0"/>
                <w:bCs w:val="0"/>
                <w:lang w:val="en-US"/>
              </w:rPr>
              <w:t>上市公司-</w:t>
            </w:r>
            <w:r>
              <w:rPr>
                <w:rFonts w:hint="eastAsia"/>
                <w:b w:val="0"/>
                <w:bCs w:val="0"/>
                <w:lang w:val="en-US" w:eastAsia="zh-CN"/>
              </w:rPr>
              <w:t>巨星农牧</w:t>
            </w:r>
            <w:r>
              <w:rPr>
                <w:rFonts w:hint="eastAsia"/>
                <w:b w:val="0"/>
                <w:bCs w:val="0"/>
                <w:lang w:val="en-US"/>
              </w:rPr>
              <w:t>活动的</w:t>
            </w:r>
            <w:r>
              <w:rPr>
                <w:rFonts w:hint="eastAsia"/>
                <w:b w:val="0"/>
                <w:bCs w:val="0"/>
                <w:lang w:val="en-US" w:eastAsia="zh-CN"/>
              </w:rPr>
              <w:t>机构</w:t>
            </w:r>
            <w:r>
              <w:rPr>
                <w:rFonts w:hint="eastAsia"/>
                <w:b w:val="0"/>
                <w:bCs w:val="0"/>
                <w:lang w:val="en-US"/>
              </w:rPr>
              <w:t>投资者</w:t>
            </w:r>
            <w:r>
              <w:rPr>
                <w:rFonts w:hint="eastAsia"/>
                <w:b w:val="0"/>
                <w:bCs w:val="0"/>
                <w:lang w:val="en-US" w:eastAsia="zh-CN"/>
              </w:rPr>
              <w:t>和个人投资者，共计</w:t>
            </w:r>
            <w:r>
              <w:rPr>
                <w:rFonts w:hint="eastAsia"/>
                <w:b w:val="0"/>
                <w:bCs w:val="0"/>
                <w:lang w:val="en-US"/>
              </w:rPr>
              <w:t>2</w:t>
            </w:r>
            <w:r>
              <w:rPr>
                <w:rFonts w:hint="eastAsia"/>
                <w:b w:val="0"/>
                <w:bCs w:val="0"/>
                <w:lang w:val="en-US" w:eastAsia="zh-CN"/>
              </w:rPr>
              <w:t>9</w:t>
            </w:r>
            <w:r>
              <w:rPr>
                <w:rFonts w:hint="eastAsia"/>
                <w:b w:val="0"/>
                <w:bCs w:val="0"/>
                <w:lang w:val="en-US"/>
              </w:rPr>
              <w:t>人。</w:t>
            </w:r>
          </w:p>
        </w:tc>
      </w:tr>
      <w:tr w14:paraId="045DFB9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4" w:hRule="atLeast"/>
          <w:jc w:val="center"/>
        </w:trPr>
        <w:tc>
          <w:tcPr>
            <w:tcW w:w="1166" w:type="pct"/>
            <w:tcBorders>
              <w:top w:val="single" w:color="000000" w:sz="6" w:space="0"/>
              <w:bottom w:val="single" w:color="000000" w:sz="6" w:space="0"/>
              <w:right w:val="single" w:color="000000" w:sz="6" w:space="0"/>
            </w:tcBorders>
            <w:vAlign w:val="center"/>
          </w:tcPr>
          <w:p w14:paraId="57DF741E">
            <w:pPr>
              <w:pStyle w:val="15"/>
              <w:spacing w:line="480" w:lineRule="exact"/>
              <w:ind w:firstLine="221" w:firstLineChars="100"/>
              <w:rPr>
                <w:rFonts w:hint="eastAsia"/>
                <w:b/>
                <w:bCs/>
              </w:rPr>
            </w:pPr>
            <w:r>
              <w:rPr>
                <w:rFonts w:hint="eastAsia"/>
                <w:b/>
                <w:bCs/>
              </w:rPr>
              <w:t>时间</w:t>
            </w:r>
          </w:p>
        </w:tc>
        <w:tc>
          <w:tcPr>
            <w:tcW w:w="3833" w:type="pct"/>
            <w:gridSpan w:val="3"/>
            <w:tcBorders>
              <w:top w:val="single" w:color="000000" w:sz="6" w:space="0"/>
              <w:left w:val="single" w:color="000000" w:sz="6" w:space="0"/>
              <w:bottom w:val="single" w:color="000000" w:sz="6" w:space="0"/>
            </w:tcBorders>
            <w:vAlign w:val="center"/>
          </w:tcPr>
          <w:p w14:paraId="7F65CF0C">
            <w:pPr>
              <w:pStyle w:val="15"/>
              <w:spacing w:line="480" w:lineRule="exact"/>
              <w:rPr>
                <w:rFonts w:hint="eastAsia"/>
                <w:lang w:val="en-US"/>
              </w:rPr>
            </w:pPr>
            <w:r>
              <w:rPr>
                <w:rFonts w:hint="eastAsia"/>
                <w:lang w:val="en-US"/>
              </w:rPr>
              <w:t>2025年</w:t>
            </w:r>
            <w:r>
              <w:rPr>
                <w:rFonts w:hint="eastAsia"/>
                <w:lang w:val="en-US" w:eastAsia="zh-CN"/>
              </w:rPr>
              <w:t>7</w:t>
            </w:r>
            <w:r>
              <w:rPr>
                <w:rFonts w:hint="eastAsia"/>
                <w:lang w:val="en-US"/>
              </w:rPr>
              <w:t>月</w:t>
            </w:r>
            <w:r>
              <w:rPr>
                <w:rFonts w:hint="eastAsia"/>
                <w:lang w:val="en-US" w:eastAsia="zh-CN"/>
              </w:rPr>
              <w:t>21</w:t>
            </w:r>
            <w:r>
              <w:rPr>
                <w:rFonts w:hint="eastAsia"/>
                <w:lang w:val="en-US"/>
              </w:rPr>
              <w:t>日</w:t>
            </w:r>
            <w:r>
              <w:rPr>
                <w:rFonts w:hint="eastAsia"/>
                <w:lang w:val="en-US" w:eastAsia="zh-CN"/>
              </w:rPr>
              <w:t xml:space="preserve"> 14:00至16:00</w:t>
            </w:r>
          </w:p>
        </w:tc>
      </w:tr>
      <w:tr w14:paraId="22BD8F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62" w:hRule="atLeast"/>
          <w:jc w:val="center"/>
        </w:trPr>
        <w:tc>
          <w:tcPr>
            <w:tcW w:w="1166" w:type="pct"/>
            <w:tcBorders>
              <w:top w:val="single" w:color="000000" w:sz="6" w:space="0"/>
              <w:bottom w:val="single" w:color="000000" w:sz="6" w:space="0"/>
              <w:right w:val="single" w:color="000000" w:sz="6" w:space="0"/>
            </w:tcBorders>
            <w:vAlign w:val="center"/>
          </w:tcPr>
          <w:p w14:paraId="7D4E5178">
            <w:pPr>
              <w:pStyle w:val="15"/>
              <w:spacing w:line="480" w:lineRule="exact"/>
              <w:ind w:firstLine="221" w:firstLineChars="100"/>
              <w:rPr>
                <w:rFonts w:hint="eastAsia"/>
                <w:b/>
                <w:bCs/>
              </w:rPr>
            </w:pPr>
            <w:r>
              <w:rPr>
                <w:rFonts w:hint="eastAsia"/>
                <w:b/>
                <w:bCs/>
              </w:rPr>
              <w:t>地点</w:t>
            </w:r>
          </w:p>
        </w:tc>
        <w:tc>
          <w:tcPr>
            <w:tcW w:w="3833" w:type="pct"/>
            <w:gridSpan w:val="3"/>
            <w:tcBorders>
              <w:top w:val="single" w:color="000000" w:sz="6" w:space="0"/>
              <w:left w:val="single" w:color="000000" w:sz="6" w:space="0"/>
              <w:bottom w:val="single" w:color="000000" w:sz="6" w:space="0"/>
            </w:tcBorders>
            <w:vAlign w:val="center"/>
          </w:tcPr>
          <w:p w14:paraId="6B039F8E">
            <w:pPr>
              <w:pStyle w:val="15"/>
              <w:spacing w:line="480" w:lineRule="exact"/>
              <w:rPr>
                <w:rFonts w:hint="default" w:eastAsia="宋体"/>
                <w:lang w:val="en-US" w:eastAsia="zh-CN"/>
              </w:rPr>
            </w:pPr>
            <w:r>
              <w:rPr>
                <w:rFonts w:hint="default" w:eastAsia="宋体"/>
                <w:lang w:val="en-US" w:eastAsia="zh-CN"/>
              </w:rPr>
              <w:t>成都·公司总部会议室</w:t>
            </w:r>
          </w:p>
        </w:tc>
      </w:tr>
      <w:tr w14:paraId="1112975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06" w:hRule="atLeast"/>
          <w:jc w:val="center"/>
        </w:trPr>
        <w:tc>
          <w:tcPr>
            <w:tcW w:w="1166" w:type="pct"/>
            <w:tcBorders>
              <w:top w:val="single" w:color="000000" w:sz="6" w:space="0"/>
              <w:bottom w:val="single" w:color="000000" w:sz="6" w:space="0"/>
              <w:right w:val="single" w:color="000000" w:sz="6" w:space="0"/>
            </w:tcBorders>
            <w:vAlign w:val="center"/>
          </w:tcPr>
          <w:p w14:paraId="5686D060">
            <w:pPr>
              <w:pStyle w:val="15"/>
              <w:spacing w:line="480" w:lineRule="exact"/>
              <w:ind w:firstLine="221" w:firstLineChars="100"/>
              <w:rPr>
                <w:rFonts w:hint="eastAsia"/>
                <w:b/>
                <w:bCs/>
              </w:rPr>
            </w:pPr>
            <w:r>
              <w:rPr>
                <w:rFonts w:hint="eastAsia"/>
                <w:b/>
                <w:bCs/>
                <w:lang w:val="en-US"/>
              </w:rPr>
              <w:t>上市</w:t>
            </w:r>
            <w:r>
              <w:rPr>
                <w:rFonts w:hint="eastAsia"/>
                <w:b/>
                <w:bCs/>
              </w:rPr>
              <w:t>公司</w:t>
            </w:r>
          </w:p>
          <w:p w14:paraId="780CF1E2">
            <w:pPr>
              <w:pStyle w:val="15"/>
              <w:spacing w:line="480" w:lineRule="exact"/>
              <w:ind w:firstLine="221" w:firstLineChars="100"/>
              <w:rPr>
                <w:rFonts w:hint="eastAsia"/>
                <w:b/>
                <w:bCs/>
              </w:rPr>
            </w:pPr>
            <w:r>
              <w:rPr>
                <w:rFonts w:hint="eastAsia"/>
                <w:b/>
                <w:bCs/>
              </w:rPr>
              <w:t>接待人员姓名</w:t>
            </w:r>
          </w:p>
        </w:tc>
        <w:tc>
          <w:tcPr>
            <w:tcW w:w="3833" w:type="pct"/>
            <w:gridSpan w:val="3"/>
            <w:tcBorders>
              <w:top w:val="single" w:color="000000" w:sz="6" w:space="0"/>
              <w:left w:val="single" w:color="000000" w:sz="6" w:space="0"/>
              <w:bottom w:val="single" w:color="000000" w:sz="6" w:space="0"/>
            </w:tcBorders>
            <w:vAlign w:val="center"/>
          </w:tcPr>
          <w:p w14:paraId="11665805">
            <w:pPr>
              <w:pStyle w:val="15"/>
              <w:spacing w:line="480" w:lineRule="exact"/>
              <w:ind w:right="227"/>
              <w:rPr>
                <w:rFonts w:hint="eastAsia"/>
                <w:lang w:val="en-US" w:eastAsia="zh-CN"/>
              </w:rPr>
            </w:pPr>
            <w:r>
              <w:rPr>
                <w:rFonts w:hint="eastAsia"/>
                <w:lang w:val="en-US" w:eastAsia="zh-CN"/>
              </w:rPr>
              <w:t>董事长：段利锋</w:t>
            </w:r>
          </w:p>
          <w:p w14:paraId="0F54F7AE">
            <w:pPr>
              <w:pStyle w:val="15"/>
              <w:spacing w:line="480" w:lineRule="exact"/>
              <w:ind w:right="227"/>
              <w:rPr>
                <w:rFonts w:hint="eastAsia"/>
                <w:lang w:val="en-US"/>
              </w:rPr>
            </w:pPr>
            <w:r>
              <w:rPr>
                <w:rFonts w:hint="eastAsia"/>
              </w:rPr>
              <w:t>董事会秘书：</w:t>
            </w:r>
            <w:r>
              <w:rPr>
                <w:rFonts w:hint="eastAsia"/>
                <w:lang w:val="en-US"/>
              </w:rPr>
              <w:t>张耕</w:t>
            </w:r>
          </w:p>
          <w:p w14:paraId="7708378A">
            <w:pPr>
              <w:pStyle w:val="15"/>
              <w:spacing w:line="480" w:lineRule="exact"/>
              <w:ind w:right="227"/>
              <w:rPr>
                <w:rFonts w:hint="eastAsia"/>
                <w:lang w:val="en-US"/>
              </w:rPr>
            </w:pPr>
            <w:r>
              <w:rPr>
                <w:rFonts w:hint="eastAsia"/>
                <w:lang w:val="en-US"/>
              </w:rPr>
              <w:t>副总经理：徐成聪</w:t>
            </w:r>
          </w:p>
          <w:p w14:paraId="68BDE97B">
            <w:pPr>
              <w:pStyle w:val="15"/>
              <w:spacing w:line="480" w:lineRule="exact"/>
              <w:ind w:right="227"/>
              <w:rPr>
                <w:rFonts w:hint="eastAsia"/>
                <w:lang w:val="en-US"/>
              </w:rPr>
            </w:pPr>
            <w:r>
              <w:rPr>
                <w:rFonts w:hint="eastAsia"/>
                <w:lang w:val="en-US"/>
              </w:rPr>
              <w:t>证券事务代表：张诗琪</w:t>
            </w:r>
          </w:p>
        </w:tc>
      </w:tr>
      <w:tr w14:paraId="28E8CB6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9" w:hRule="atLeast"/>
          <w:jc w:val="center"/>
        </w:trPr>
        <w:tc>
          <w:tcPr>
            <w:tcW w:w="1166" w:type="pct"/>
            <w:tcBorders>
              <w:top w:val="single" w:color="000000" w:sz="6" w:space="0"/>
              <w:bottom w:val="single" w:color="000000" w:sz="6" w:space="0"/>
              <w:right w:val="single" w:color="000000" w:sz="6" w:space="0"/>
            </w:tcBorders>
            <w:vAlign w:val="center"/>
          </w:tcPr>
          <w:p w14:paraId="72A6125C">
            <w:pPr>
              <w:pStyle w:val="15"/>
              <w:spacing w:line="480" w:lineRule="exact"/>
              <w:rPr>
                <w:rFonts w:hint="eastAsia"/>
                <w:b/>
                <w:bCs/>
              </w:rPr>
            </w:pPr>
            <w:r>
              <w:rPr>
                <w:rFonts w:hint="eastAsia"/>
                <w:b/>
                <w:bCs/>
                <w:lang w:val="en-US"/>
              </w:rPr>
              <w:t xml:space="preserve">  </w:t>
            </w:r>
            <w:r>
              <w:rPr>
                <w:rFonts w:hint="eastAsia"/>
                <w:b/>
                <w:bCs/>
              </w:rPr>
              <w:t>投资者关系活动</w:t>
            </w:r>
          </w:p>
          <w:p w14:paraId="14DA878F">
            <w:pPr>
              <w:pStyle w:val="15"/>
              <w:spacing w:line="480" w:lineRule="exact"/>
              <w:ind w:firstLine="221" w:firstLineChars="100"/>
              <w:rPr>
                <w:rFonts w:hint="eastAsia"/>
                <w:b/>
                <w:bCs/>
              </w:rPr>
            </w:pPr>
            <w:r>
              <w:rPr>
                <w:rFonts w:hint="eastAsia"/>
                <w:b/>
                <w:bCs/>
              </w:rPr>
              <w:t>主要内容介绍</w:t>
            </w:r>
          </w:p>
        </w:tc>
        <w:tc>
          <w:tcPr>
            <w:tcW w:w="3833" w:type="pct"/>
            <w:gridSpan w:val="3"/>
            <w:tcBorders>
              <w:top w:val="single" w:color="000000" w:sz="6" w:space="0"/>
              <w:left w:val="single" w:color="000000" w:sz="6" w:space="0"/>
              <w:bottom w:val="single" w:color="000000" w:sz="6" w:space="0"/>
            </w:tcBorders>
            <w:vAlign w:val="center"/>
          </w:tcPr>
          <w:p w14:paraId="3562B254">
            <w:pPr>
              <w:spacing w:line="520" w:lineRule="exact"/>
              <w:ind w:firstLine="440" w:firstLineChars="200"/>
              <w:jc w:val="both"/>
              <w:rPr>
                <w:rFonts w:hint="default" w:eastAsia="宋体"/>
                <w:b w:val="0"/>
                <w:bCs w:val="0"/>
                <w:highlight w:val="none"/>
                <w:lang w:val="en-US" w:eastAsia="zh-CN"/>
              </w:rPr>
            </w:pPr>
            <w:bookmarkStart w:id="0" w:name="7182-1592134663918"/>
            <w:bookmarkEnd w:id="0"/>
            <w:r>
              <w:rPr>
                <w:rFonts w:hint="eastAsia"/>
                <w:b w:val="0"/>
                <w:bCs w:val="0"/>
                <w:highlight w:val="none"/>
                <w:lang w:val="en-US" w:eastAsia="zh-CN"/>
              </w:rPr>
              <w:t>为深入贯彻落实中央金融工作会议精神以及新“国九条”有关要求，持续讲好沪市上市公司高质量发展故事，营造理性投资、价值投资、长期投资的市场氛围，在上海证券交易所的指导和四川省上市公司协会的支持之下，</w:t>
            </w:r>
            <w:r>
              <w:rPr>
                <w:rFonts w:hint="eastAsia"/>
                <w:b w:val="0"/>
                <w:bCs w:val="0"/>
                <w:highlight w:val="none"/>
                <w:lang w:val="en-US"/>
              </w:rPr>
              <w:t>国金证券股份有限公司</w:t>
            </w:r>
            <w:r>
              <w:rPr>
                <w:rFonts w:hint="eastAsia"/>
                <w:b w:val="0"/>
                <w:bCs w:val="0"/>
                <w:highlight w:val="none"/>
                <w:lang w:val="en-US" w:eastAsia="zh-CN"/>
              </w:rPr>
              <w:t>和乐山巨星农牧股份有限公司（简称“巨星农牧”或“公司”）联合举办了“我是股东”走进沪市上市公司-巨星农牧活动，邀请投资者走进上市公司现场参观和座谈交流。投资者参观了公司的数字化展厅，全方面了解了公司的发展历程、重大事件、业务模式、竞争优势。随后投资者参加了公司座谈交流，投资者详细听取了行业概况、公司情况、技术创新、发展规划等内容的介绍，增进了投资者对巨星农牧的认知和认可。交流主要内容如下：</w:t>
            </w:r>
          </w:p>
          <w:p w14:paraId="337B8376">
            <w:pPr>
              <w:keepNext w:val="0"/>
              <w:keepLines w:val="0"/>
              <w:pageBreakBefore w:val="0"/>
              <w:widowControl w:val="0"/>
              <w:kinsoku/>
              <w:wordWrap/>
              <w:overflowPunct/>
              <w:topLinePunct w:val="0"/>
              <w:autoSpaceDE w:val="0"/>
              <w:autoSpaceDN w:val="0"/>
              <w:bidi w:val="0"/>
              <w:adjustRightInd/>
              <w:snapToGrid/>
              <w:spacing w:line="540" w:lineRule="exact"/>
              <w:jc w:val="both"/>
              <w:textAlignment w:val="auto"/>
              <w:rPr>
                <w:rFonts w:hint="eastAsia"/>
                <w:b/>
                <w:bCs/>
                <w:lang w:val="en-US" w:eastAsia="zh-CN"/>
              </w:rPr>
            </w:pPr>
            <w:r>
              <w:rPr>
                <w:rFonts w:hint="eastAsia"/>
                <w:b/>
                <w:bCs/>
                <w:lang w:val="en-US" w:eastAsia="zh-CN"/>
              </w:rPr>
              <w:t>一、公司提到将通过“技术+管理”持续降本增效，有哪些具体的技术和管理方法？</w:t>
            </w:r>
          </w:p>
          <w:p w14:paraId="2961B0C2">
            <w:pPr>
              <w:keepNext w:val="0"/>
              <w:keepLines w:val="0"/>
              <w:pageBreakBefore w:val="0"/>
              <w:widowControl w:val="0"/>
              <w:kinsoku/>
              <w:wordWrap/>
              <w:overflowPunct/>
              <w:topLinePunct w:val="0"/>
              <w:autoSpaceDE w:val="0"/>
              <w:autoSpaceDN w:val="0"/>
              <w:bidi w:val="0"/>
              <w:adjustRightInd/>
              <w:snapToGrid/>
              <w:spacing w:line="540" w:lineRule="exact"/>
              <w:ind w:firstLine="440" w:firstLineChars="200"/>
              <w:jc w:val="both"/>
              <w:textAlignment w:val="auto"/>
              <w:rPr>
                <w:rFonts w:hint="eastAsia"/>
                <w:b w:val="0"/>
                <w:bCs w:val="0"/>
                <w:lang w:val="en-US" w:eastAsia="zh-CN"/>
              </w:rPr>
            </w:pPr>
            <w:r>
              <w:rPr>
                <w:rFonts w:hint="eastAsia"/>
                <w:b w:val="0"/>
                <w:bCs w:val="0"/>
                <w:lang w:val="en-US" w:eastAsia="zh-CN"/>
              </w:rPr>
              <w:t>公司持续聚焦生猪养殖业务主航道，主要从“效率提升、成本管控”等方面推动实现公司年度经营计划目标。在生猪成本管理方面，公司通过“技术+管理”双轮驱动持续改进生产管理和推动降本增效，主要措施包括“严格执行落实生物安全防控措施、加强遗传基因、猪群健康管理并优化养殖流程管理”等，以上举措有效实施对于生猪成本的持续下降作用明显，公司将持续通过效率提升进一步推动成本改进。</w:t>
            </w:r>
          </w:p>
          <w:p w14:paraId="56CD223A">
            <w:pPr>
              <w:keepNext w:val="0"/>
              <w:keepLines w:val="0"/>
              <w:pageBreakBefore w:val="0"/>
              <w:widowControl w:val="0"/>
              <w:kinsoku/>
              <w:wordWrap/>
              <w:overflowPunct/>
              <w:topLinePunct w:val="0"/>
              <w:autoSpaceDE w:val="0"/>
              <w:autoSpaceDN w:val="0"/>
              <w:bidi w:val="0"/>
              <w:adjustRightInd/>
              <w:snapToGrid/>
              <w:spacing w:line="540" w:lineRule="exact"/>
              <w:jc w:val="both"/>
              <w:textAlignment w:val="auto"/>
              <w:rPr>
                <w:rFonts w:hint="eastAsia"/>
                <w:b w:val="0"/>
                <w:bCs w:val="0"/>
                <w:lang w:val="en-US" w:eastAsia="zh-CN"/>
              </w:rPr>
            </w:pPr>
          </w:p>
          <w:p w14:paraId="2EF950E1">
            <w:pPr>
              <w:keepNext w:val="0"/>
              <w:keepLines w:val="0"/>
              <w:pageBreakBefore w:val="0"/>
              <w:widowControl w:val="0"/>
              <w:kinsoku/>
              <w:wordWrap/>
              <w:overflowPunct/>
              <w:topLinePunct w:val="0"/>
              <w:autoSpaceDE w:val="0"/>
              <w:autoSpaceDN w:val="0"/>
              <w:bidi w:val="0"/>
              <w:adjustRightInd/>
              <w:snapToGrid/>
              <w:spacing w:line="540" w:lineRule="exact"/>
              <w:jc w:val="both"/>
              <w:textAlignment w:val="auto"/>
              <w:rPr>
                <w:rFonts w:hint="eastAsia"/>
                <w:b/>
                <w:bCs/>
                <w:lang w:val="en-US" w:eastAsia="zh-CN"/>
              </w:rPr>
            </w:pPr>
            <w:r>
              <w:rPr>
                <w:rFonts w:hint="eastAsia"/>
                <w:b/>
                <w:bCs/>
                <w:lang w:val="en-US" w:eastAsia="zh-CN"/>
              </w:rPr>
              <w:t>二、在猪周期逐步淡化的背景下，公司是否有考虑进一步延伸产业链，如食品加工方向？</w:t>
            </w:r>
          </w:p>
          <w:p w14:paraId="3992849A">
            <w:pPr>
              <w:keepNext w:val="0"/>
              <w:keepLines w:val="0"/>
              <w:pageBreakBefore w:val="0"/>
              <w:widowControl w:val="0"/>
              <w:kinsoku/>
              <w:wordWrap/>
              <w:overflowPunct/>
              <w:topLinePunct w:val="0"/>
              <w:autoSpaceDE w:val="0"/>
              <w:autoSpaceDN w:val="0"/>
              <w:bidi w:val="0"/>
              <w:adjustRightInd/>
              <w:snapToGrid/>
              <w:spacing w:line="540" w:lineRule="exact"/>
              <w:ind w:firstLine="440" w:firstLineChars="200"/>
              <w:jc w:val="both"/>
              <w:textAlignment w:val="auto"/>
              <w:rPr>
                <w:rFonts w:hint="default"/>
                <w:b w:val="0"/>
                <w:bCs w:val="0"/>
                <w:lang w:val="en-US" w:eastAsia="zh-CN"/>
              </w:rPr>
            </w:pPr>
            <w:r>
              <w:rPr>
                <w:rFonts w:hint="eastAsia"/>
                <w:b w:val="0"/>
                <w:bCs w:val="0"/>
                <w:lang w:val="en-US" w:eastAsia="zh-CN"/>
              </w:rPr>
              <w:t>公司秉持“认真养猪一百年，专注生猪产业链”的理念，坚定发展和持续深耕生猪养殖产业，将“以极致效率提供优质猪肉食品”作为公司使命，以高执行力高创新力的竞争优势积极应对趋势变化和推动行业高质量发展，努力成为极具竞争力的生猪养殖企业和世界级的农牧食品企业。生猪养殖是生猪产业链的重要上游环节，可以为猪肉食品的深加工提供优质、安全、可控的原材料，公司在持续聚焦生猪养殖业务主航道的同时，也在持续洞察猪肉食品深加工的发展趋向，为未来进一步完善生猪产业链筑牢基础。</w:t>
            </w:r>
          </w:p>
          <w:p w14:paraId="27BB7BB6">
            <w:pPr>
              <w:keepNext w:val="0"/>
              <w:keepLines w:val="0"/>
              <w:pageBreakBefore w:val="0"/>
              <w:widowControl w:val="0"/>
              <w:kinsoku/>
              <w:wordWrap/>
              <w:overflowPunct/>
              <w:topLinePunct w:val="0"/>
              <w:autoSpaceDE w:val="0"/>
              <w:autoSpaceDN w:val="0"/>
              <w:bidi w:val="0"/>
              <w:adjustRightInd/>
              <w:snapToGrid/>
              <w:spacing w:line="540" w:lineRule="exact"/>
              <w:ind w:firstLine="440" w:firstLineChars="200"/>
              <w:jc w:val="both"/>
              <w:textAlignment w:val="auto"/>
              <w:rPr>
                <w:rFonts w:hint="eastAsia"/>
                <w:b w:val="0"/>
                <w:bCs w:val="0"/>
                <w:lang w:val="en-US" w:eastAsia="zh-CN"/>
              </w:rPr>
            </w:pPr>
          </w:p>
          <w:p w14:paraId="7D1834AF">
            <w:pPr>
              <w:keepNext w:val="0"/>
              <w:keepLines w:val="0"/>
              <w:pageBreakBefore w:val="0"/>
              <w:widowControl w:val="0"/>
              <w:kinsoku/>
              <w:wordWrap/>
              <w:overflowPunct/>
              <w:topLinePunct w:val="0"/>
              <w:autoSpaceDE w:val="0"/>
              <w:autoSpaceDN w:val="0"/>
              <w:bidi w:val="0"/>
              <w:adjustRightInd/>
              <w:snapToGrid/>
              <w:spacing w:line="540" w:lineRule="exact"/>
              <w:jc w:val="both"/>
              <w:textAlignment w:val="auto"/>
              <w:rPr>
                <w:rFonts w:hint="default"/>
                <w:b/>
                <w:bCs/>
                <w:lang w:val="en-US" w:eastAsia="zh-CN"/>
              </w:rPr>
            </w:pPr>
            <w:r>
              <w:rPr>
                <w:rFonts w:hint="eastAsia"/>
                <w:b/>
                <w:bCs/>
                <w:lang w:val="en-US" w:eastAsia="zh-CN"/>
              </w:rPr>
              <w:t>三、在养猪行业发展趋势不断变化的背景下，公司的竞争优势是什么？</w:t>
            </w:r>
          </w:p>
          <w:p w14:paraId="3FD718CE">
            <w:pPr>
              <w:keepNext w:val="0"/>
              <w:keepLines w:val="0"/>
              <w:pageBreakBefore w:val="0"/>
              <w:widowControl w:val="0"/>
              <w:kinsoku/>
              <w:wordWrap/>
              <w:overflowPunct/>
              <w:topLinePunct w:val="0"/>
              <w:autoSpaceDE w:val="0"/>
              <w:autoSpaceDN w:val="0"/>
              <w:bidi w:val="0"/>
              <w:adjustRightInd/>
              <w:snapToGrid/>
              <w:spacing w:line="540" w:lineRule="exact"/>
              <w:ind w:firstLine="440" w:firstLineChars="200"/>
              <w:jc w:val="both"/>
              <w:textAlignment w:val="auto"/>
              <w:rPr>
                <w:rFonts w:hint="default"/>
                <w:b w:val="0"/>
                <w:bCs w:val="0"/>
                <w:lang w:val="en-US" w:eastAsia="zh-CN"/>
              </w:rPr>
            </w:pPr>
            <w:r>
              <w:rPr>
                <w:rFonts w:hint="eastAsia"/>
                <w:b w:val="0"/>
                <w:bCs w:val="0"/>
                <w:lang w:val="en-US" w:eastAsia="zh-CN"/>
              </w:rPr>
              <w:t>公司</w:t>
            </w:r>
            <w:r>
              <w:rPr>
                <w:rFonts w:hint="default"/>
                <w:b w:val="0"/>
                <w:bCs w:val="0"/>
                <w:lang w:val="en-US" w:eastAsia="zh-CN"/>
              </w:rPr>
              <w:t>已搭建完成“种+料+管理+生物安全系统+环保系统”五星养殖体系，以具备优质基因的种群作为动车头，以规模化、标准化、流程化、信息化和自动化的生产管理和全程协同、精准饲喂的精准营养为两翼发动机，以严格的猪场选址、科学的猪舍设计、设备配置构建起的生物安全体系和投资到位、环境友好的环保处理系统为两大基础保障，践行公司“以极致效率提供优质猪肉食品”的使命。</w:t>
            </w:r>
          </w:p>
          <w:p w14:paraId="37D61452">
            <w:pPr>
              <w:keepNext w:val="0"/>
              <w:keepLines w:val="0"/>
              <w:pageBreakBefore w:val="0"/>
              <w:widowControl w:val="0"/>
              <w:kinsoku/>
              <w:wordWrap/>
              <w:overflowPunct/>
              <w:topLinePunct w:val="0"/>
              <w:autoSpaceDE w:val="0"/>
              <w:autoSpaceDN w:val="0"/>
              <w:bidi w:val="0"/>
              <w:adjustRightInd/>
              <w:snapToGrid/>
              <w:spacing w:line="540" w:lineRule="exact"/>
              <w:ind w:firstLine="440" w:firstLineChars="200"/>
              <w:jc w:val="both"/>
              <w:textAlignment w:val="auto"/>
              <w:rPr>
                <w:rFonts w:hint="default"/>
                <w:b w:val="0"/>
                <w:bCs w:val="0"/>
                <w:lang w:val="en-US" w:eastAsia="zh-CN"/>
              </w:rPr>
            </w:pPr>
            <w:r>
              <w:rPr>
                <w:rFonts w:hint="eastAsia"/>
                <w:b w:val="0"/>
                <w:bCs w:val="0"/>
                <w:lang w:val="en-US" w:eastAsia="zh-CN"/>
              </w:rPr>
              <w:t>公司</w:t>
            </w:r>
            <w:r>
              <w:rPr>
                <w:rFonts w:hint="default"/>
                <w:b w:val="0"/>
                <w:bCs w:val="0"/>
                <w:lang w:val="en-US" w:eastAsia="zh-CN"/>
              </w:rPr>
              <w:t>持续聚焦降本增效和</w:t>
            </w:r>
            <w:r>
              <w:rPr>
                <w:rFonts w:hint="eastAsia"/>
                <w:b w:val="0"/>
                <w:bCs w:val="0"/>
                <w:lang w:val="en-US" w:eastAsia="zh-CN"/>
              </w:rPr>
              <w:t>持续发展</w:t>
            </w:r>
            <w:r>
              <w:rPr>
                <w:rFonts w:hint="default"/>
                <w:b w:val="0"/>
                <w:bCs w:val="0"/>
                <w:lang w:val="en-US" w:eastAsia="zh-CN"/>
              </w:rPr>
              <w:t>两大战略主题，通过不断优化巨星五星养殖体系</w:t>
            </w:r>
            <w:r>
              <w:rPr>
                <w:rFonts w:hint="eastAsia"/>
                <w:b w:val="0"/>
                <w:bCs w:val="0"/>
                <w:lang w:val="en-US" w:eastAsia="zh-CN"/>
              </w:rPr>
              <w:t>和科技创新、提质增效、联农带农</w:t>
            </w:r>
            <w:bookmarkStart w:id="1" w:name="_GoBack"/>
            <w:bookmarkEnd w:id="1"/>
            <w:r>
              <w:rPr>
                <w:rFonts w:hint="default"/>
                <w:b w:val="0"/>
                <w:bCs w:val="0"/>
                <w:lang w:val="en-US" w:eastAsia="zh-CN"/>
              </w:rPr>
              <w:t>提供高质量商品猪产品，致力于实现更高的经济效益和</w:t>
            </w:r>
            <w:r>
              <w:rPr>
                <w:rFonts w:hint="eastAsia"/>
                <w:b w:val="0"/>
                <w:bCs w:val="0"/>
                <w:lang w:val="en-US" w:eastAsia="zh-CN"/>
              </w:rPr>
              <w:t>贡献更大的</w:t>
            </w:r>
            <w:r>
              <w:rPr>
                <w:rFonts w:hint="default"/>
                <w:b w:val="0"/>
                <w:bCs w:val="0"/>
                <w:lang w:val="en-US" w:eastAsia="zh-CN"/>
              </w:rPr>
              <w:t>社会责任，持续不断地为股东、客户和社会创造更多价值。</w:t>
            </w:r>
          </w:p>
          <w:p w14:paraId="538D80A0">
            <w:pPr>
              <w:keepNext w:val="0"/>
              <w:keepLines w:val="0"/>
              <w:pageBreakBefore w:val="0"/>
              <w:widowControl w:val="0"/>
              <w:kinsoku/>
              <w:wordWrap/>
              <w:overflowPunct/>
              <w:topLinePunct w:val="0"/>
              <w:autoSpaceDE w:val="0"/>
              <w:autoSpaceDN w:val="0"/>
              <w:bidi w:val="0"/>
              <w:adjustRightInd/>
              <w:snapToGrid/>
              <w:spacing w:line="540" w:lineRule="exact"/>
              <w:jc w:val="both"/>
              <w:textAlignment w:val="auto"/>
              <w:rPr>
                <w:rFonts w:hint="default"/>
                <w:b w:val="0"/>
                <w:bCs w:val="0"/>
                <w:lang w:val="en-US" w:eastAsia="zh-CN"/>
              </w:rPr>
            </w:pPr>
          </w:p>
          <w:p w14:paraId="27E2EDB2">
            <w:pPr>
              <w:keepNext w:val="0"/>
              <w:keepLines w:val="0"/>
              <w:pageBreakBefore w:val="0"/>
              <w:widowControl w:val="0"/>
              <w:kinsoku/>
              <w:wordWrap/>
              <w:overflowPunct/>
              <w:topLinePunct w:val="0"/>
              <w:autoSpaceDE w:val="0"/>
              <w:autoSpaceDN w:val="0"/>
              <w:bidi w:val="0"/>
              <w:adjustRightInd/>
              <w:snapToGrid/>
              <w:spacing w:line="540" w:lineRule="exact"/>
              <w:jc w:val="both"/>
              <w:textAlignment w:val="auto"/>
              <w:rPr>
                <w:rFonts w:hint="default"/>
                <w:b/>
                <w:bCs/>
                <w:lang w:val="en-US" w:eastAsia="zh-CN"/>
              </w:rPr>
            </w:pPr>
            <w:r>
              <w:rPr>
                <w:rFonts w:hint="eastAsia"/>
                <w:b/>
                <w:bCs/>
                <w:lang w:val="en-US" w:eastAsia="zh-CN"/>
              </w:rPr>
              <w:t>四、</w:t>
            </w:r>
            <w:r>
              <w:rPr>
                <w:rFonts w:hint="eastAsia" w:ascii="宋体" w:hAnsi="宋体" w:eastAsia="宋体" w:cs="宋体"/>
                <w:b/>
                <w:bCs/>
                <w:i w:val="0"/>
                <w:iCs w:val="0"/>
                <w:color w:val="000000"/>
                <w:kern w:val="0"/>
                <w:sz w:val="22"/>
                <w:szCs w:val="22"/>
                <w:u w:val="none"/>
                <w:lang w:val="en-US" w:eastAsia="zh-CN" w:bidi="ar"/>
              </w:rPr>
              <w:t>目前生猪养殖行业正加速向技术密集型、知识密集型现代化养殖业转型，公司在智能化养殖设备应用、大数据分析辅助养殖决策等方面有哪些布局和进展？</w:t>
            </w:r>
          </w:p>
          <w:p w14:paraId="6B101530">
            <w:pPr>
              <w:keepNext w:val="0"/>
              <w:keepLines w:val="0"/>
              <w:pageBreakBefore w:val="0"/>
              <w:widowControl w:val="0"/>
              <w:kinsoku/>
              <w:wordWrap/>
              <w:overflowPunct/>
              <w:topLinePunct w:val="0"/>
              <w:autoSpaceDE w:val="0"/>
              <w:autoSpaceDN w:val="0"/>
              <w:bidi w:val="0"/>
              <w:adjustRightInd/>
              <w:snapToGrid/>
              <w:spacing w:line="540" w:lineRule="exact"/>
              <w:ind w:firstLine="440" w:firstLineChars="200"/>
              <w:jc w:val="both"/>
              <w:textAlignment w:val="auto"/>
              <w:rPr>
                <w:rFonts w:hint="eastAsia"/>
                <w:b w:val="0"/>
                <w:bCs w:val="0"/>
                <w:lang w:val="en-US" w:eastAsia="zh-CN"/>
              </w:rPr>
            </w:pPr>
            <w:r>
              <w:rPr>
                <w:rFonts w:hint="eastAsia"/>
                <w:b w:val="0"/>
                <w:bCs w:val="0"/>
                <w:lang w:val="en-US" w:eastAsia="zh-CN"/>
              </w:rPr>
              <w:t>公司坚定发展生猪养殖业务并持续深耕生猪养殖行业，围绕“基因遗传、精准营养、生物安全和环境控制”等关键性、前瞻性技术开展创新，努力将先进的育种、营养饲喂、健康管理、人工智能先进技术付诸实践。公司将持续推动数字智能化建设项目实施，通过巨星数智化养殖平台等信息系统的建设与升级，力求覆盖公司各业务板块信息化、智能化需求，以技术赋能降低人力成本、提高生产管理效率、提升养殖水平，从而实现降低成本、高效生产，推动公司高质量发展和可持续健康成长。</w:t>
            </w:r>
          </w:p>
          <w:p w14:paraId="719DFCB7">
            <w:pPr>
              <w:keepNext w:val="0"/>
              <w:keepLines w:val="0"/>
              <w:pageBreakBefore w:val="0"/>
              <w:widowControl w:val="0"/>
              <w:kinsoku/>
              <w:wordWrap/>
              <w:overflowPunct/>
              <w:topLinePunct w:val="0"/>
              <w:autoSpaceDE w:val="0"/>
              <w:autoSpaceDN w:val="0"/>
              <w:bidi w:val="0"/>
              <w:adjustRightInd/>
              <w:snapToGrid/>
              <w:spacing w:line="540" w:lineRule="exact"/>
              <w:jc w:val="both"/>
              <w:textAlignment w:val="auto"/>
              <w:rPr>
                <w:rFonts w:hint="eastAsia"/>
                <w:b w:val="0"/>
                <w:bCs w:val="0"/>
                <w:lang w:val="en-US" w:eastAsia="zh-CN"/>
              </w:rPr>
            </w:pPr>
          </w:p>
          <w:p w14:paraId="4508F874">
            <w:pPr>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jc w:val="both"/>
              <w:textAlignment w:val="auto"/>
              <w:rPr>
                <w:rFonts w:hint="eastAsia" w:ascii="宋体" w:hAnsi="宋体" w:eastAsia="宋体" w:cs="宋体"/>
                <w:b/>
                <w:bCs/>
                <w:i w:val="0"/>
                <w:iCs w:val="0"/>
                <w:color w:val="000000"/>
                <w:kern w:val="0"/>
                <w:sz w:val="22"/>
                <w:szCs w:val="22"/>
                <w:u w:val="none"/>
                <w:lang w:val="en-US" w:eastAsia="zh-CN" w:bidi="ar"/>
              </w:rPr>
            </w:pPr>
            <w:r>
              <w:rPr>
                <w:rFonts w:hint="eastAsia" w:cs="宋体"/>
                <w:b/>
                <w:bCs/>
                <w:i w:val="0"/>
                <w:iCs w:val="0"/>
                <w:color w:val="000000"/>
                <w:kern w:val="0"/>
                <w:sz w:val="22"/>
                <w:szCs w:val="22"/>
                <w:u w:val="none"/>
                <w:lang w:val="en-US" w:eastAsia="zh-CN" w:bidi="ar"/>
              </w:rPr>
              <w:t>五</w:t>
            </w:r>
            <w:r>
              <w:rPr>
                <w:rFonts w:hint="eastAsia" w:ascii="宋体" w:hAnsi="宋体" w:eastAsia="宋体" w:cs="宋体"/>
                <w:b/>
                <w:bCs/>
                <w:i w:val="0"/>
                <w:iCs w:val="0"/>
                <w:color w:val="000000"/>
                <w:kern w:val="0"/>
                <w:sz w:val="22"/>
                <w:szCs w:val="22"/>
                <w:u w:val="none"/>
                <w:lang w:val="en-US" w:eastAsia="zh-CN" w:bidi="ar"/>
              </w:rPr>
              <w:t>、公司</w:t>
            </w:r>
            <w:r>
              <w:rPr>
                <w:rFonts w:hint="eastAsia" w:cs="宋体"/>
                <w:b/>
                <w:bCs/>
                <w:i w:val="0"/>
                <w:iCs w:val="0"/>
                <w:color w:val="000000"/>
                <w:kern w:val="0"/>
                <w:sz w:val="22"/>
                <w:szCs w:val="22"/>
                <w:u w:val="none"/>
                <w:lang w:val="en-US" w:eastAsia="zh-CN" w:bidi="ar"/>
              </w:rPr>
              <w:t>在</w:t>
            </w:r>
            <w:r>
              <w:rPr>
                <w:rFonts w:hint="eastAsia" w:ascii="宋体" w:hAnsi="宋体" w:eastAsia="宋体" w:cs="宋体"/>
                <w:b/>
                <w:bCs/>
                <w:i w:val="0"/>
                <w:iCs w:val="0"/>
                <w:color w:val="000000"/>
                <w:kern w:val="0"/>
                <w:sz w:val="22"/>
                <w:szCs w:val="22"/>
                <w:u w:val="none"/>
                <w:lang w:val="en-US" w:eastAsia="zh-CN" w:bidi="ar"/>
              </w:rPr>
              <w:t>股东回报</w:t>
            </w:r>
            <w:r>
              <w:rPr>
                <w:rFonts w:hint="eastAsia" w:cs="宋体"/>
                <w:b/>
                <w:bCs/>
                <w:i w:val="0"/>
                <w:iCs w:val="0"/>
                <w:color w:val="000000"/>
                <w:kern w:val="0"/>
                <w:sz w:val="22"/>
                <w:szCs w:val="22"/>
                <w:u w:val="none"/>
                <w:lang w:val="en-US" w:eastAsia="zh-CN" w:bidi="ar"/>
              </w:rPr>
              <w:t>方面的有什么</w:t>
            </w:r>
            <w:r>
              <w:rPr>
                <w:rFonts w:hint="eastAsia" w:ascii="宋体" w:hAnsi="宋体" w:eastAsia="宋体" w:cs="宋体"/>
                <w:b/>
                <w:bCs/>
                <w:i w:val="0"/>
                <w:iCs w:val="0"/>
                <w:color w:val="000000"/>
                <w:kern w:val="0"/>
                <w:sz w:val="22"/>
                <w:szCs w:val="22"/>
                <w:u w:val="none"/>
                <w:lang w:val="en-US" w:eastAsia="zh-CN" w:bidi="ar"/>
              </w:rPr>
              <w:t>计划与</w:t>
            </w:r>
            <w:r>
              <w:rPr>
                <w:rFonts w:hint="eastAsia" w:cs="宋体"/>
                <w:b/>
                <w:bCs/>
                <w:i w:val="0"/>
                <w:iCs w:val="0"/>
                <w:color w:val="000000"/>
                <w:kern w:val="0"/>
                <w:sz w:val="22"/>
                <w:szCs w:val="22"/>
                <w:u w:val="none"/>
                <w:lang w:val="en-US" w:eastAsia="zh-CN" w:bidi="ar"/>
              </w:rPr>
              <w:t>方案</w:t>
            </w:r>
            <w:r>
              <w:rPr>
                <w:rFonts w:hint="eastAsia" w:ascii="宋体" w:hAnsi="宋体" w:eastAsia="宋体" w:cs="宋体"/>
                <w:b/>
                <w:bCs/>
                <w:i w:val="0"/>
                <w:iCs w:val="0"/>
                <w:color w:val="000000"/>
                <w:kern w:val="0"/>
                <w:sz w:val="22"/>
                <w:szCs w:val="22"/>
                <w:u w:val="none"/>
                <w:lang w:val="en-US" w:eastAsia="zh-CN" w:bidi="ar"/>
              </w:rPr>
              <w:t>？</w:t>
            </w:r>
          </w:p>
          <w:p w14:paraId="5000540A">
            <w:pPr>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firstLine="440" w:firstLineChars="200"/>
              <w:jc w:val="both"/>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司高度重视股东回报，自上市以来已连续多年实施现金分红。公司牢固树立回报股东意识，积极提升回报投资者能力和水平。根据2025年6月11日披露的《2024年年度权益分派实施公告》，公司已于2025年6月17日向股东股派发现金红利0.1737元（含税），合计分配现金红利85,551,059.76元（含税）。</w:t>
            </w:r>
          </w:p>
          <w:p w14:paraId="4017CCFD">
            <w:pPr>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firstLine="440" w:firstLineChars="200"/>
              <w:jc w:val="both"/>
              <w:textAlignment w:val="auto"/>
              <w:rPr>
                <w:rFonts w:hint="eastAsia"/>
                <w:b w:val="0"/>
                <w:bCs w:val="0"/>
                <w:lang w:val="en-US" w:eastAsia="zh-CN"/>
              </w:rPr>
            </w:pPr>
            <w:r>
              <w:rPr>
                <w:rFonts w:hint="eastAsia" w:ascii="宋体" w:hAnsi="宋体" w:eastAsia="宋体" w:cs="宋体"/>
                <w:i w:val="0"/>
                <w:iCs w:val="0"/>
                <w:color w:val="000000"/>
                <w:kern w:val="0"/>
                <w:sz w:val="22"/>
                <w:szCs w:val="22"/>
                <w:u w:val="none"/>
                <w:lang w:val="en-US" w:eastAsia="zh-CN" w:bidi="ar"/>
              </w:rPr>
              <w:t>公司已制定《乐山巨星农牧股份有限公司未来三年（2024年-2026年）股东分红回报规划》的中长期分红规划，未来将努力提高分红的稳定性、计划性和可预期性。</w:t>
            </w:r>
          </w:p>
        </w:tc>
      </w:tr>
      <w:tr w14:paraId="0C299AD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94" w:hRule="atLeast"/>
          <w:jc w:val="center"/>
        </w:trPr>
        <w:tc>
          <w:tcPr>
            <w:tcW w:w="1166" w:type="pct"/>
            <w:tcBorders>
              <w:top w:val="single" w:color="000000" w:sz="6" w:space="0"/>
              <w:bottom w:val="single" w:color="000000" w:sz="6" w:space="0"/>
              <w:right w:val="single" w:color="000000" w:sz="6" w:space="0"/>
            </w:tcBorders>
            <w:vAlign w:val="center"/>
          </w:tcPr>
          <w:p w14:paraId="073E119A">
            <w:pPr>
              <w:pStyle w:val="15"/>
              <w:spacing w:line="480" w:lineRule="exact"/>
              <w:ind w:firstLine="221" w:firstLineChars="100"/>
              <w:rPr>
                <w:rFonts w:hint="eastAsia"/>
                <w:b/>
                <w:bCs/>
              </w:rPr>
            </w:pPr>
            <w:r>
              <w:rPr>
                <w:rFonts w:hint="eastAsia"/>
                <w:b/>
                <w:bCs/>
              </w:rPr>
              <w:t>附件清单（如有）</w:t>
            </w:r>
          </w:p>
        </w:tc>
        <w:tc>
          <w:tcPr>
            <w:tcW w:w="3833" w:type="pct"/>
            <w:gridSpan w:val="3"/>
            <w:tcBorders>
              <w:top w:val="single" w:color="000000" w:sz="6" w:space="0"/>
              <w:left w:val="single" w:color="000000" w:sz="6" w:space="0"/>
              <w:bottom w:val="single" w:color="000000" w:sz="6" w:space="0"/>
            </w:tcBorders>
            <w:vAlign w:val="center"/>
          </w:tcPr>
          <w:p w14:paraId="48751C83">
            <w:pPr>
              <w:pStyle w:val="15"/>
              <w:spacing w:line="480" w:lineRule="exact"/>
              <w:rPr>
                <w:rFonts w:hint="eastAsia"/>
                <w:lang w:val="en-US"/>
              </w:rPr>
            </w:pPr>
            <w:r>
              <w:rPr>
                <w:rFonts w:hint="eastAsia"/>
              </w:rPr>
              <w:t>无</w:t>
            </w:r>
          </w:p>
        </w:tc>
      </w:tr>
      <w:tr w14:paraId="5E206CC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49" w:hRule="atLeast"/>
          <w:jc w:val="center"/>
        </w:trPr>
        <w:tc>
          <w:tcPr>
            <w:tcW w:w="1166" w:type="pct"/>
            <w:tcBorders>
              <w:top w:val="single" w:color="000000" w:sz="6" w:space="0"/>
              <w:bottom w:val="single" w:color="000000" w:sz="6" w:space="0"/>
              <w:right w:val="single" w:color="000000" w:sz="6" w:space="0"/>
            </w:tcBorders>
            <w:vAlign w:val="center"/>
          </w:tcPr>
          <w:p w14:paraId="3973A26C">
            <w:pPr>
              <w:pStyle w:val="15"/>
              <w:spacing w:line="480" w:lineRule="exact"/>
              <w:ind w:firstLine="221" w:firstLineChars="100"/>
              <w:rPr>
                <w:rFonts w:hint="eastAsia"/>
                <w:b/>
                <w:bCs/>
              </w:rPr>
            </w:pPr>
            <w:r>
              <w:rPr>
                <w:rFonts w:hint="eastAsia"/>
                <w:b/>
                <w:bCs/>
                <w:lang w:val="en-US"/>
              </w:rPr>
              <w:t>日期</w:t>
            </w:r>
          </w:p>
        </w:tc>
        <w:tc>
          <w:tcPr>
            <w:tcW w:w="3833" w:type="pct"/>
            <w:gridSpan w:val="3"/>
            <w:tcBorders>
              <w:top w:val="single" w:color="000000" w:sz="6" w:space="0"/>
              <w:left w:val="single" w:color="000000" w:sz="6" w:space="0"/>
              <w:bottom w:val="single" w:color="000000" w:sz="6" w:space="0"/>
            </w:tcBorders>
            <w:vAlign w:val="center"/>
          </w:tcPr>
          <w:p w14:paraId="0586E56B">
            <w:pPr>
              <w:pStyle w:val="15"/>
              <w:spacing w:line="480" w:lineRule="exact"/>
              <w:rPr>
                <w:rFonts w:hint="default" w:eastAsia="宋体"/>
                <w:lang w:val="en-US" w:eastAsia="zh-CN"/>
              </w:rPr>
            </w:pPr>
            <w:r>
              <w:rPr>
                <w:rFonts w:hint="eastAsia"/>
                <w:lang w:val="en-US"/>
              </w:rPr>
              <w:t>2025年</w:t>
            </w:r>
            <w:r>
              <w:rPr>
                <w:rFonts w:hint="eastAsia"/>
                <w:lang w:val="en-US" w:eastAsia="zh-CN"/>
              </w:rPr>
              <w:t>7月21日</w:t>
            </w:r>
          </w:p>
        </w:tc>
      </w:tr>
      <w:tr w14:paraId="36F9DA6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49" w:hRule="atLeast"/>
          <w:jc w:val="center"/>
        </w:trPr>
        <w:tc>
          <w:tcPr>
            <w:tcW w:w="1166" w:type="pct"/>
            <w:tcBorders>
              <w:top w:val="single" w:color="000000" w:sz="6" w:space="0"/>
              <w:bottom w:val="single" w:color="000000" w:sz="6" w:space="0"/>
              <w:right w:val="single" w:color="000000" w:sz="6" w:space="0"/>
            </w:tcBorders>
            <w:vAlign w:val="center"/>
          </w:tcPr>
          <w:p w14:paraId="3B95E49B">
            <w:pPr>
              <w:pStyle w:val="15"/>
              <w:spacing w:line="480" w:lineRule="exact"/>
              <w:ind w:firstLine="221" w:firstLineChars="100"/>
              <w:rPr>
                <w:rFonts w:hint="default" w:eastAsia="宋体"/>
                <w:b/>
                <w:bCs/>
                <w:lang w:val="en-US" w:eastAsia="zh-CN"/>
              </w:rPr>
            </w:pPr>
            <w:r>
              <w:rPr>
                <w:rFonts w:hint="eastAsia"/>
                <w:b/>
                <w:bCs/>
                <w:lang w:val="en-US" w:eastAsia="zh-CN"/>
              </w:rPr>
              <w:t>重要提示</w:t>
            </w:r>
          </w:p>
        </w:tc>
        <w:tc>
          <w:tcPr>
            <w:tcW w:w="3833" w:type="pct"/>
            <w:gridSpan w:val="3"/>
            <w:tcBorders>
              <w:top w:val="single" w:color="000000" w:sz="6" w:space="0"/>
              <w:left w:val="single" w:color="000000" w:sz="6" w:space="0"/>
              <w:bottom w:val="single" w:color="000000" w:sz="6" w:space="0"/>
            </w:tcBorders>
            <w:vAlign w:val="center"/>
          </w:tcPr>
          <w:p w14:paraId="46D66049">
            <w:pPr>
              <w:numPr>
                <w:ilvl w:val="0"/>
                <w:numId w:val="0"/>
              </w:numPr>
              <w:spacing w:line="520" w:lineRule="exact"/>
              <w:jc w:val="both"/>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公司郑重提醒如下：</w:t>
            </w:r>
          </w:p>
          <w:p w14:paraId="5E1E06F2">
            <w:pPr>
              <w:numPr>
                <w:ilvl w:val="0"/>
                <w:numId w:val="0"/>
              </w:numPr>
              <w:spacing w:line="520" w:lineRule="exact"/>
              <w:ind w:firstLine="442" w:firstLineChars="200"/>
              <w:jc w:val="both"/>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参与单位和人员由组织机构整理提供，鉴于参与单位和人员的数量较多，公司无法完全保证参与单位和人员的完整性、准确性，敬请投资者特别注意。</w:t>
            </w:r>
          </w:p>
          <w:p w14:paraId="445F5131">
            <w:pPr>
              <w:numPr>
                <w:ilvl w:val="0"/>
                <w:numId w:val="0"/>
              </w:numPr>
              <w:spacing w:line="520" w:lineRule="exact"/>
              <w:ind w:firstLine="442" w:firstLineChars="200"/>
              <w:jc w:val="both"/>
              <w:rPr>
                <w:rFonts w:hint="eastAsia"/>
                <w:lang w:val="en-US"/>
              </w:rPr>
            </w:pPr>
            <w:r>
              <w:rPr>
                <w:rFonts w:hint="eastAsia" w:ascii="宋体" w:hAnsi="宋体" w:eastAsia="宋体" w:cs="宋体"/>
                <w:b/>
                <w:bCs/>
                <w:i w:val="0"/>
                <w:iCs w:val="0"/>
                <w:color w:val="000000"/>
                <w:kern w:val="0"/>
                <w:sz w:val="22"/>
                <w:szCs w:val="22"/>
                <w:u w:val="none"/>
                <w:lang w:val="en-US" w:eastAsia="zh-CN" w:bidi="ar"/>
              </w:rPr>
              <w:t>以上内容如涉及行业预测研判、公司发展战略、公司经营计划等相关内容，均不构成公司的实质性承诺和保证，</w:t>
            </w:r>
            <w:r>
              <w:rPr>
                <w:rFonts w:hint="default" w:ascii="宋体" w:hAnsi="宋体" w:eastAsia="宋体" w:cs="宋体"/>
                <w:b/>
                <w:bCs/>
                <w:i w:val="0"/>
                <w:iCs w:val="0"/>
                <w:color w:val="000000"/>
                <w:kern w:val="0"/>
                <w:sz w:val="22"/>
                <w:szCs w:val="22"/>
                <w:u w:val="none"/>
                <w:lang w:val="en-US" w:eastAsia="zh-CN" w:bidi="ar"/>
              </w:rPr>
              <w:t>敬请广大投资者审慎决策，理性投资，注意风险。</w:t>
            </w:r>
          </w:p>
        </w:tc>
      </w:tr>
    </w:tbl>
    <w:p w14:paraId="4EB9F7D8">
      <w:pPr>
        <w:spacing w:line="480" w:lineRule="exac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wMmExZDZmNDI3YTI0ZTA3YTlkODY1MDIyMDY1YmQifQ=="/>
  </w:docVars>
  <w:rsids>
    <w:rsidRoot w:val="00172A27"/>
    <w:rsid w:val="00003A23"/>
    <w:rsid w:val="00012C3C"/>
    <w:rsid w:val="00021A23"/>
    <w:rsid w:val="00043144"/>
    <w:rsid w:val="0005797E"/>
    <w:rsid w:val="00066B41"/>
    <w:rsid w:val="000A5FF0"/>
    <w:rsid w:val="000D401A"/>
    <w:rsid w:val="001027CE"/>
    <w:rsid w:val="00172A27"/>
    <w:rsid w:val="001777D7"/>
    <w:rsid w:val="001925D8"/>
    <w:rsid w:val="001D6B58"/>
    <w:rsid w:val="001E1559"/>
    <w:rsid w:val="001E6FA8"/>
    <w:rsid w:val="00212EE9"/>
    <w:rsid w:val="00222182"/>
    <w:rsid w:val="00237FD3"/>
    <w:rsid w:val="00267242"/>
    <w:rsid w:val="002771C1"/>
    <w:rsid w:val="002772C9"/>
    <w:rsid w:val="00281466"/>
    <w:rsid w:val="00297859"/>
    <w:rsid w:val="002B06D1"/>
    <w:rsid w:val="002C20BC"/>
    <w:rsid w:val="002C5FED"/>
    <w:rsid w:val="002F239D"/>
    <w:rsid w:val="00325770"/>
    <w:rsid w:val="00382DEE"/>
    <w:rsid w:val="00393382"/>
    <w:rsid w:val="003A0D3D"/>
    <w:rsid w:val="00427279"/>
    <w:rsid w:val="00451F63"/>
    <w:rsid w:val="00454B1E"/>
    <w:rsid w:val="00484D5D"/>
    <w:rsid w:val="004D3A8C"/>
    <w:rsid w:val="004F3CD1"/>
    <w:rsid w:val="00504925"/>
    <w:rsid w:val="00523918"/>
    <w:rsid w:val="00535CFB"/>
    <w:rsid w:val="00584537"/>
    <w:rsid w:val="005B2C6A"/>
    <w:rsid w:val="005E3F93"/>
    <w:rsid w:val="005E6EE3"/>
    <w:rsid w:val="00621968"/>
    <w:rsid w:val="00623D63"/>
    <w:rsid w:val="00630ED4"/>
    <w:rsid w:val="00680DF4"/>
    <w:rsid w:val="00690C0F"/>
    <w:rsid w:val="00694EA3"/>
    <w:rsid w:val="006A1001"/>
    <w:rsid w:val="006A325B"/>
    <w:rsid w:val="006E50D8"/>
    <w:rsid w:val="006F0F69"/>
    <w:rsid w:val="006F3C3A"/>
    <w:rsid w:val="00706238"/>
    <w:rsid w:val="00716F9E"/>
    <w:rsid w:val="0071754D"/>
    <w:rsid w:val="0072278D"/>
    <w:rsid w:val="00741EC4"/>
    <w:rsid w:val="007538DE"/>
    <w:rsid w:val="00761751"/>
    <w:rsid w:val="00771863"/>
    <w:rsid w:val="007740DC"/>
    <w:rsid w:val="007A179B"/>
    <w:rsid w:val="007C7866"/>
    <w:rsid w:val="007D5E4C"/>
    <w:rsid w:val="007E773D"/>
    <w:rsid w:val="00805BB0"/>
    <w:rsid w:val="008076C4"/>
    <w:rsid w:val="008173A4"/>
    <w:rsid w:val="0083050D"/>
    <w:rsid w:val="00832179"/>
    <w:rsid w:val="00837083"/>
    <w:rsid w:val="008435C7"/>
    <w:rsid w:val="00865AAD"/>
    <w:rsid w:val="00867ED8"/>
    <w:rsid w:val="00887EEF"/>
    <w:rsid w:val="008A5769"/>
    <w:rsid w:val="008A593D"/>
    <w:rsid w:val="008B0EB1"/>
    <w:rsid w:val="008C7824"/>
    <w:rsid w:val="00953938"/>
    <w:rsid w:val="009C1ED4"/>
    <w:rsid w:val="00A03F87"/>
    <w:rsid w:val="00A662B0"/>
    <w:rsid w:val="00A775A7"/>
    <w:rsid w:val="00AE0D36"/>
    <w:rsid w:val="00B12B7D"/>
    <w:rsid w:val="00B35DFB"/>
    <w:rsid w:val="00B40388"/>
    <w:rsid w:val="00B65A43"/>
    <w:rsid w:val="00B706B1"/>
    <w:rsid w:val="00B71531"/>
    <w:rsid w:val="00B74C38"/>
    <w:rsid w:val="00BC261E"/>
    <w:rsid w:val="00BC7084"/>
    <w:rsid w:val="00BD3F5F"/>
    <w:rsid w:val="00C124B4"/>
    <w:rsid w:val="00C162F0"/>
    <w:rsid w:val="00C21BEF"/>
    <w:rsid w:val="00C22BFF"/>
    <w:rsid w:val="00C24231"/>
    <w:rsid w:val="00C3689D"/>
    <w:rsid w:val="00C55837"/>
    <w:rsid w:val="00C62EF2"/>
    <w:rsid w:val="00C75AD5"/>
    <w:rsid w:val="00C92C7A"/>
    <w:rsid w:val="00C93833"/>
    <w:rsid w:val="00CA613C"/>
    <w:rsid w:val="00CB3418"/>
    <w:rsid w:val="00CB66CC"/>
    <w:rsid w:val="00CC29BF"/>
    <w:rsid w:val="00CD7A61"/>
    <w:rsid w:val="00CE6E5D"/>
    <w:rsid w:val="00CF599A"/>
    <w:rsid w:val="00D24451"/>
    <w:rsid w:val="00D51161"/>
    <w:rsid w:val="00D53792"/>
    <w:rsid w:val="00D73DF2"/>
    <w:rsid w:val="00DB4DD3"/>
    <w:rsid w:val="00DC140D"/>
    <w:rsid w:val="00DD6BA7"/>
    <w:rsid w:val="00E26C16"/>
    <w:rsid w:val="00E354B5"/>
    <w:rsid w:val="00E733E4"/>
    <w:rsid w:val="00E86D43"/>
    <w:rsid w:val="00EA2F91"/>
    <w:rsid w:val="00EF5382"/>
    <w:rsid w:val="00F01814"/>
    <w:rsid w:val="00F039D0"/>
    <w:rsid w:val="00F52695"/>
    <w:rsid w:val="00F802A5"/>
    <w:rsid w:val="00F80918"/>
    <w:rsid w:val="00FA1388"/>
    <w:rsid w:val="00FB5A77"/>
    <w:rsid w:val="00FC46A8"/>
    <w:rsid w:val="00FF0827"/>
    <w:rsid w:val="00FF749E"/>
    <w:rsid w:val="01172A03"/>
    <w:rsid w:val="01396E1E"/>
    <w:rsid w:val="017B7436"/>
    <w:rsid w:val="01A52705"/>
    <w:rsid w:val="01B464A4"/>
    <w:rsid w:val="01BF5575"/>
    <w:rsid w:val="01CE04DC"/>
    <w:rsid w:val="020E02AA"/>
    <w:rsid w:val="02346ABB"/>
    <w:rsid w:val="024C18BD"/>
    <w:rsid w:val="02910C29"/>
    <w:rsid w:val="02C75822"/>
    <w:rsid w:val="02F92D08"/>
    <w:rsid w:val="03023B12"/>
    <w:rsid w:val="033E071B"/>
    <w:rsid w:val="034321D6"/>
    <w:rsid w:val="03433F84"/>
    <w:rsid w:val="034F46D6"/>
    <w:rsid w:val="03667C72"/>
    <w:rsid w:val="03FA6D38"/>
    <w:rsid w:val="0405748B"/>
    <w:rsid w:val="04073203"/>
    <w:rsid w:val="04365896"/>
    <w:rsid w:val="045035FE"/>
    <w:rsid w:val="045C354F"/>
    <w:rsid w:val="048E6375"/>
    <w:rsid w:val="04A76B24"/>
    <w:rsid w:val="050E4DFB"/>
    <w:rsid w:val="054D733B"/>
    <w:rsid w:val="055D6392"/>
    <w:rsid w:val="05777F14"/>
    <w:rsid w:val="059005EC"/>
    <w:rsid w:val="05B169EF"/>
    <w:rsid w:val="05C80770"/>
    <w:rsid w:val="0621364A"/>
    <w:rsid w:val="064A7E58"/>
    <w:rsid w:val="06606C84"/>
    <w:rsid w:val="06652463"/>
    <w:rsid w:val="06930D7E"/>
    <w:rsid w:val="069517C3"/>
    <w:rsid w:val="06A66D03"/>
    <w:rsid w:val="06C87A51"/>
    <w:rsid w:val="070954E4"/>
    <w:rsid w:val="073D0CEA"/>
    <w:rsid w:val="076444C8"/>
    <w:rsid w:val="0790350F"/>
    <w:rsid w:val="07953C33"/>
    <w:rsid w:val="0797489E"/>
    <w:rsid w:val="07DB082D"/>
    <w:rsid w:val="07FE66CB"/>
    <w:rsid w:val="080A1514"/>
    <w:rsid w:val="081C23EE"/>
    <w:rsid w:val="086A722B"/>
    <w:rsid w:val="0874698D"/>
    <w:rsid w:val="08B97140"/>
    <w:rsid w:val="08D13DE0"/>
    <w:rsid w:val="095523FA"/>
    <w:rsid w:val="09D02FE3"/>
    <w:rsid w:val="0A6842D0"/>
    <w:rsid w:val="0A7E1D45"/>
    <w:rsid w:val="0AB1211B"/>
    <w:rsid w:val="0AD019C3"/>
    <w:rsid w:val="0B143E90"/>
    <w:rsid w:val="0B372620"/>
    <w:rsid w:val="0B3F3282"/>
    <w:rsid w:val="0B41349E"/>
    <w:rsid w:val="0B484436"/>
    <w:rsid w:val="0BCB2D68"/>
    <w:rsid w:val="0BCB667F"/>
    <w:rsid w:val="0C2C33CB"/>
    <w:rsid w:val="0C3721AC"/>
    <w:rsid w:val="0C3B7EEE"/>
    <w:rsid w:val="0C54227B"/>
    <w:rsid w:val="0C6D1CE1"/>
    <w:rsid w:val="0C7358DA"/>
    <w:rsid w:val="0C767F6B"/>
    <w:rsid w:val="0C7B653C"/>
    <w:rsid w:val="0C8D626F"/>
    <w:rsid w:val="0C9212DD"/>
    <w:rsid w:val="0CC7352F"/>
    <w:rsid w:val="0D0D37A8"/>
    <w:rsid w:val="0D9553DC"/>
    <w:rsid w:val="0E4F36CC"/>
    <w:rsid w:val="0EB16245"/>
    <w:rsid w:val="0EC3241C"/>
    <w:rsid w:val="0EC95C85"/>
    <w:rsid w:val="0EDC703A"/>
    <w:rsid w:val="0EF44384"/>
    <w:rsid w:val="0F0A1DF9"/>
    <w:rsid w:val="0F2E7C9C"/>
    <w:rsid w:val="0F451083"/>
    <w:rsid w:val="0F5372FC"/>
    <w:rsid w:val="0F56503F"/>
    <w:rsid w:val="0F5D63CD"/>
    <w:rsid w:val="0F6E05DA"/>
    <w:rsid w:val="0FC621C4"/>
    <w:rsid w:val="0FC65D20"/>
    <w:rsid w:val="0FFF1232"/>
    <w:rsid w:val="10003D03"/>
    <w:rsid w:val="102D2243"/>
    <w:rsid w:val="10305890"/>
    <w:rsid w:val="105E064F"/>
    <w:rsid w:val="108005C5"/>
    <w:rsid w:val="10B262A5"/>
    <w:rsid w:val="10B4026F"/>
    <w:rsid w:val="10D47958"/>
    <w:rsid w:val="10D73F5D"/>
    <w:rsid w:val="10FD1C16"/>
    <w:rsid w:val="11034D52"/>
    <w:rsid w:val="11365128"/>
    <w:rsid w:val="11496C09"/>
    <w:rsid w:val="114A2981"/>
    <w:rsid w:val="1158509E"/>
    <w:rsid w:val="115E01DA"/>
    <w:rsid w:val="118E0AC0"/>
    <w:rsid w:val="11A42091"/>
    <w:rsid w:val="11BF511D"/>
    <w:rsid w:val="11E84674"/>
    <w:rsid w:val="12D509AD"/>
    <w:rsid w:val="1300779B"/>
    <w:rsid w:val="134753CA"/>
    <w:rsid w:val="1399292E"/>
    <w:rsid w:val="13DD5D2E"/>
    <w:rsid w:val="13E0137B"/>
    <w:rsid w:val="14074B59"/>
    <w:rsid w:val="14636234"/>
    <w:rsid w:val="148F7029"/>
    <w:rsid w:val="14AE3227"/>
    <w:rsid w:val="14C747AB"/>
    <w:rsid w:val="14F74BCE"/>
    <w:rsid w:val="15001CD4"/>
    <w:rsid w:val="153E0A4F"/>
    <w:rsid w:val="15C947BC"/>
    <w:rsid w:val="161E0045"/>
    <w:rsid w:val="16210154"/>
    <w:rsid w:val="162437A1"/>
    <w:rsid w:val="16646293"/>
    <w:rsid w:val="16810BF3"/>
    <w:rsid w:val="169721C5"/>
    <w:rsid w:val="169E79F7"/>
    <w:rsid w:val="169F376F"/>
    <w:rsid w:val="16B03286"/>
    <w:rsid w:val="16F05D79"/>
    <w:rsid w:val="171001C9"/>
    <w:rsid w:val="173E0892"/>
    <w:rsid w:val="1771220A"/>
    <w:rsid w:val="177D51E7"/>
    <w:rsid w:val="178D35C8"/>
    <w:rsid w:val="17C76AD9"/>
    <w:rsid w:val="17CD1C16"/>
    <w:rsid w:val="17DD00AB"/>
    <w:rsid w:val="17E21B65"/>
    <w:rsid w:val="17F3167D"/>
    <w:rsid w:val="18187335"/>
    <w:rsid w:val="183879D7"/>
    <w:rsid w:val="183D6D9C"/>
    <w:rsid w:val="183E3F37"/>
    <w:rsid w:val="1869193F"/>
    <w:rsid w:val="18824AD6"/>
    <w:rsid w:val="188C387F"/>
    <w:rsid w:val="18B62EA4"/>
    <w:rsid w:val="18D15DBA"/>
    <w:rsid w:val="18D23988"/>
    <w:rsid w:val="18FF22A3"/>
    <w:rsid w:val="19273169"/>
    <w:rsid w:val="19466E27"/>
    <w:rsid w:val="196D545F"/>
    <w:rsid w:val="197C1B46"/>
    <w:rsid w:val="199450E1"/>
    <w:rsid w:val="19B65058"/>
    <w:rsid w:val="1A0318E8"/>
    <w:rsid w:val="1A3146DE"/>
    <w:rsid w:val="1A566023"/>
    <w:rsid w:val="1ABA36B4"/>
    <w:rsid w:val="1AC11F06"/>
    <w:rsid w:val="1ACE4623"/>
    <w:rsid w:val="1B3F107D"/>
    <w:rsid w:val="1B43291B"/>
    <w:rsid w:val="1B5667A8"/>
    <w:rsid w:val="1B796AD5"/>
    <w:rsid w:val="1BB6133F"/>
    <w:rsid w:val="1BCA303C"/>
    <w:rsid w:val="1BD23C9F"/>
    <w:rsid w:val="1C080DA8"/>
    <w:rsid w:val="1C0A3439"/>
    <w:rsid w:val="1CA1729E"/>
    <w:rsid w:val="1CB82E95"/>
    <w:rsid w:val="1D2422D8"/>
    <w:rsid w:val="1D295B40"/>
    <w:rsid w:val="1D3139D9"/>
    <w:rsid w:val="1D534507"/>
    <w:rsid w:val="1D9751A0"/>
    <w:rsid w:val="1DF86605"/>
    <w:rsid w:val="1E214681"/>
    <w:rsid w:val="1E2E78B2"/>
    <w:rsid w:val="1E470974"/>
    <w:rsid w:val="1F520C33"/>
    <w:rsid w:val="1F7D440A"/>
    <w:rsid w:val="1FC436EF"/>
    <w:rsid w:val="2000527E"/>
    <w:rsid w:val="204A474C"/>
    <w:rsid w:val="20692C6F"/>
    <w:rsid w:val="209634ED"/>
    <w:rsid w:val="20D12777"/>
    <w:rsid w:val="21076199"/>
    <w:rsid w:val="21260D15"/>
    <w:rsid w:val="219C0FD7"/>
    <w:rsid w:val="21AE3541"/>
    <w:rsid w:val="222608A0"/>
    <w:rsid w:val="222A213F"/>
    <w:rsid w:val="22433200"/>
    <w:rsid w:val="224A27E1"/>
    <w:rsid w:val="225278E7"/>
    <w:rsid w:val="22850ED9"/>
    <w:rsid w:val="22941CAE"/>
    <w:rsid w:val="22BD3143"/>
    <w:rsid w:val="22EA7B20"/>
    <w:rsid w:val="233314C7"/>
    <w:rsid w:val="2351194D"/>
    <w:rsid w:val="2369313B"/>
    <w:rsid w:val="23AE6D9F"/>
    <w:rsid w:val="23C325CA"/>
    <w:rsid w:val="23C860B3"/>
    <w:rsid w:val="241C01AD"/>
    <w:rsid w:val="243F3E9B"/>
    <w:rsid w:val="246649A5"/>
    <w:rsid w:val="246C2EE2"/>
    <w:rsid w:val="247D50F0"/>
    <w:rsid w:val="24945F95"/>
    <w:rsid w:val="249E6E14"/>
    <w:rsid w:val="24D64800"/>
    <w:rsid w:val="24F609FE"/>
    <w:rsid w:val="24FD7FDE"/>
    <w:rsid w:val="25181F7F"/>
    <w:rsid w:val="25257535"/>
    <w:rsid w:val="25584F97"/>
    <w:rsid w:val="25D36F91"/>
    <w:rsid w:val="25F5515A"/>
    <w:rsid w:val="262670C1"/>
    <w:rsid w:val="264B2FCC"/>
    <w:rsid w:val="265256F1"/>
    <w:rsid w:val="267B565F"/>
    <w:rsid w:val="26BE554B"/>
    <w:rsid w:val="26D134D1"/>
    <w:rsid w:val="26EB3E67"/>
    <w:rsid w:val="26ED4885"/>
    <w:rsid w:val="26F45411"/>
    <w:rsid w:val="273121C1"/>
    <w:rsid w:val="27473793"/>
    <w:rsid w:val="274E68CF"/>
    <w:rsid w:val="275A389E"/>
    <w:rsid w:val="27677991"/>
    <w:rsid w:val="278B7B24"/>
    <w:rsid w:val="279F35CF"/>
    <w:rsid w:val="283E6C8E"/>
    <w:rsid w:val="28644513"/>
    <w:rsid w:val="287E4F92"/>
    <w:rsid w:val="28812CD5"/>
    <w:rsid w:val="292024ED"/>
    <w:rsid w:val="292F425E"/>
    <w:rsid w:val="294E0E09"/>
    <w:rsid w:val="296D5007"/>
    <w:rsid w:val="29892BB1"/>
    <w:rsid w:val="298A6873"/>
    <w:rsid w:val="29BA649E"/>
    <w:rsid w:val="29F00112"/>
    <w:rsid w:val="29F234A6"/>
    <w:rsid w:val="2A043BBD"/>
    <w:rsid w:val="2A732C8B"/>
    <w:rsid w:val="2ADC2444"/>
    <w:rsid w:val="2AE00186"/>
    <w:rsid w:val="2B027480"/>
    <w:rsid w:val="2B3B360F"/>
    <w:rsid w:val="2B517236"/>
    <w:rsid w:val="2B9E76FA"/>
    <w:rsid w:val="2BC96E6C"/>
    <w:rsid w:val="2BCE6231"/>
    <w:rsid w:val="2C581F9E"/>
    <w:rsid w:val="2C7548FE"/>
    <w:rsid w:val="2C8608B9"/>
    <w:rsid w:val="2C8B71C7"/>
    <w:rsid w:val="2C8C39F6"/>
    <w:rsid w:val="2CB27900"/>
    <w:rsid w:val="2CC97E56"/>
    <w:rsid w:val="2CE30BDD"/>
    <w:rsid w:val="2D32459D"/>
    <w:rsid w:val="2D3C366E"/>
    <w:rsid w:val="2D574004"/>
    <w:rsid w:val="2DB2566F"/>
    <w:rsid w:val="2DB63420"/>
    <w:rsid w:val="2DB75880"/>
    <w:rsid w:val="2DCD42C6"/>
    <w:rsid w:val="2DF13201"/>
    <w:rsid w:val="2DF87595"/>
    <w:rsid w:val="2E7E623A"/>
    <w:rsid w:val="2EE14754"/>
    <w:rsid w:val="2EE45D6B"/>
    <w:rsid w:val="2EEB534C"/>
    <w:rsid w:val="2EF22236"/>
    <w:rsid w:val="2EFC7BC0"/>
    <w:rsid w:val="2F2B1BEC"/>
    <w:rsid w:val="2F884949"/>
    <w:rsid w:val="2FC736C3"/>
    <w:rsid w:val="2FF53BE5"/>
    <w:rsid w:val="30032221"/>
    <w:rsid w:val="30332C85"/>
    <w:rsid w:val="3046098A"/>
    <w:rsid w:val="3086532C"/>
    <w:rsid w:val="30AE4883"/>
    <w:rsid w:val="30B023A9"/>
    <w:rsid w:val="30BA6F50"/>
    <w:rsid w:val="30C61BCC"/>
    <w:rsid w:val="30EF74E3"/>
    <w:rsid w:val="31324B8F"/>
    <w:rsid w:val="313F7C11"/>
    <w:rsid w:val="31CD6F8B"/>
    <w:rsid w:val="31DF0848"/>
    <w:rsid w:val="31E84557"/>
    <w:rsid w:val="31F14A27"/>
    <w:rsid w:val="322841C1"/>
    <w:rsid w:val="326F1DF0"/>
    <w:rsid w:val="32832EEF"/>
    <w:rsid w:val="329D070B"/>
    <w:rsid w:val="32B617CD"/>
    <w:rsid w:val="32CB171C"/>
    <w:rsid w:val="32D06D32"/>
    <w:rsid w:val="32E4633A"/>
    <w:rsid w:val="32F21E69"/>
    <w:rsid w:val="330861DE"/>
    <w:rsid w:val="33264BA4"/>
    <w:rsid w:val="33492641"/>
    <w:rsid w:val="33862A79"/>
    <w:rsid w:val="339F3E6E"/>
    <w:rsid w:val="33A352A1"/>
    <w:rsid w:val="33AD0E22"/>
    <w:rsid w:val="34060532"/>
    <w:rsid w:val="34117602"/>
    <w:rsid w:val="341669C7"/>
    <w:rsid w:val="34897674"/>
    <w:rsid w:val="349F69BC"/>
    <w:rsid w:val="34A22009"/>
    <w:rsid w:val="34A503CA"/>
    <w:rsid w:val="34AE4E51"/>
    <w:rsid w:val="34C44675"/>
    <w:rsid w:val="34E24AFB"/>
    <w:rsid w:val="350B22A4"/>
    <w:rsid w:val="35584DBD"/>
    <w:rsid w:val="355D583A"/>
    <w:rsid w:val="35867B7C"/>
    <w:rsid w:val="36525CB0"/>
    <w:rsid w:val="365E4655"/>
    <w:rsid w:val="36B44275"/>
    <w:rsid w:val="36E83F1F"/>
    <w:rsid w:val="36F86858"/>
    <w:rsid w:val="37135440"/>
    <w:rsid w:val="371511B8"/>
    <w:rsid w:val="371D1E1A"/>
    <w:rsid w:val="374455F9"/>
    <w:rsid w:val="37476E97"/>
    <w:rsid w:val="377A726D"/>
    <w:rsid w:val="37891752"/>
    <w:rsid w:val="37F80253"/>
    <w:rsid w:val="380F3E59"/>
    <w:rsid w:val="38130AE1"/>
    <w:rsid w:val="38376F0C"/>
    <w:rsid w:val="38602837"/>
    <w:rsid w:val="38613F89"/>
    <w:rsid w:val="389B56ED"/>
    <w:rsid w:val="38AF73EA"/>
    <w:rsid w:val="38D04F99"/>
    <w:rsid w:val="38D26A82"/>
    <w:rsid w:val="38E726E0"/>
    <w:rsid w:val="39180AEB"/>
    <w:rsid w:val="393D286A"/>
    <w:rsid w:val="39551D3F"/>
    <w:rsid w:val="395C1320"/>
    <w:rsid w:val="399C796E"/>
    <w:rsid w:val="3A005299"/>
    <w:rsid w:val="3A03182B"/>
    <w:rsid w:val="3A0A4C3A"/>
    <w:rsid w:val="3A371445"/>
    <w:rsid w:val="3A60099C"/>
    <w:rsid w:val="3A620996"/>
    <w:rsid w:val="3A8A3C6B"/>
    <w:rsid w:val="3AB26D1E"/>
    <w:rsid w:val="3AC46CFD"/>
    <w:rsid w:val="3AE0388B"/>
    <w:rsid w:val="3AF1337E"/>
    <w:rsid w:val="3B2220F5"/>
    <w:rsid w:val="3B871F58"/>
    <w:rsid w:val="3B8A37F6"/>
    <w:rsid w:val="3BC27434"/>
    <w:rsid w:val="3BFDD941"/>
    <w:rsid w:val="3C2505B3"/>
    <w:rsid w:val="3C3245BA"/>
    <w:rsid w:val="3C494D52"/>
    <w:rsid w:val="3C552025"/>
    <w:rsid w:val="3CB60D47"/>
    <w:rsid w:val="3CB70371"/>
    <w:rsid w:val="3CC52D38"/>
    <w:rsid w:val="3CCA2A44"/>
    <w:rsid w:val="3CE82ECA"/>
    <w:rsid w:val="3D15341C"/>
    <w:rsid w:val="3D2C1326"/>
    <w:rsid w:val="3D4C33F0"/>
    <w:rsid w:val="3D536596"/>
    <w:rsid w:val="3D5B18EE"/>
    <w:rsid w:val="3D7D7F09"/>
    <w:rsid w:val="3D7F382F"/>
    <w:rsid w:val="3D7F55DD"/>
    <w:rsid w:val="3D9A41C5"/>
    <w:rsid w:val="3DCE0312"/>
    <w:rsid w:val="3E14487B"/>
    <w:rsid w:val="3E151A9D"/>
    <w:rsid w:val="3E4D72C5"/>
    <w:rsid w:val="3E5D60F8"/>
    <w:rsid w:val="3E5E1696"/>
    <w:rsid w:val="3E770C94"/>
    <w:rsid w:val="3E8E35FE"/>
    <w:rsid w:val="3EB017C6"/>
    <w:rsid w:val="3EBA2645"/>
    <w:rsid w:val="3F5233FE"/>
    <w:rsid w:val="3F6D0AAA"/>
    <w:rsid w:val="3F8F762D"/>
    <w:rsid w:val="3FA27361"/>
    <w:rsid w:val="403D352D"/>
    <w:rsid w:val="40550877"/>
    <w:rsid w:val="405D094D"/>
    <w:rsid w:val="408F1FDB"/>
    <w:rsid w:val="40DB783A"/>
    <w:rsid w:val="40ED4F53"/>
    <w:rsid w:val="410F31A3"/>
    <w:rsid w:val="4114603C"/>
    <w:rsid w:val="41456B3D"/>
    <w:rsid w:val="41517290"/>
    <w:rsid w:val="41546D80"/>
    <w:rsid w:val="418E780E"/>
    <w:rsid w:val="41995C74"/>
    <w:rsid w:val="41E9571B"/>
    <w:rsid w:val="41E974C9"/>
    <w:rsid w:val="41F540C0"/>
    <w:rsid w:val="41FA0169"/>
    <w:rsid w:val="41FF0A9A"/>
    <w:rsid w:val="42091919"/>
    <w:rsid w:val="420F2749"/>
    <w:rsid w:val="423A5F76"/>
    <w:rsid w:val="42BD2703"/>
    <w:rsid w:val="42C615B8"/>
    <w:rsid w:val="42FE6FA4"/>
    <w:rsid w:val="431237F5"/>
    <w:rsid w:val="433C7ACC"/>
    <w:rsid w:val="43A833B4"/>
    <w:rsid w:val="43AA712C"/>
    <w:rsid w:val="43E4263E"/>
    <w:rsid w:val="4419328C"/>
    <w:rsid w:val="441B5933"/>
    <w:rsid w:val="442944F4"/>
    <w:rsid w:val="443E41B9"/>
    <w:rsid w:val="446C43E1"/>
    <w:rsid w:val="44AA4E01"/>
    <w:rsid w:val="44B87280"/>
    <w:rsid w:val="44CB55AC"/>
    <w:rsid w:val="44DA134B"/>
    <w:rsid w:val="45724BB3"/>
    <w:rsid w:val="4594599D"/>
    <w:rsid w:val="45C142B9"/>
    <w:rsid w:val="45C83899"/>
    <w:rsid w:val="45D43FEC"/>
    <w:rsid w:val="46114F0F"/>
    <w:rsid w:val="46A61E2C"/>
    <w:rsid w:val="46D83FB0"/>
    <w:rsid w:val="46FF32EA"/>
    <w:rsid w:val="47507FEA"/>
    <w:rsid w:val="47590C4D"/>
    <w:rsid w:val="477414D3"/>
    <w:rsid w:val="47897ABA"/>
    <w:rsid w:val="47A15B48"/>
    <w:rsid w:val="47AD0F98"/>
    <w:rsid w:val="48256D81"/>
    <w:rsid w:val="48600223"/>
    <w:rsid w:val="486615C5"/>
    <w:rsid w:val="48671147"/>
    <w:rsid w:val="486D24D6"/>
    <w:rsid w:val="48763A80"/>
    <w:rsid w:val="48F16866"/>
    <w:rsid w:val="492F13F5"/>
    <w:rsid w:val="49584F34"/>
    <w:rsid w:val="496D4E83"/>
    <w:rsid w:val="49A92C07"/>
    <w:rsid w:val="49EF5898"/>
    <w:rsid w:val="49FB248F"/>
    <w:rsid w:val="49FE3D2D"/>
    <w:rsid w:val="4A121587"/>
    <w:rsid w:val="4A143551"/>
    <w:rsid w:val="4A4756D4"/>
    <w:rsid w:val="4A90104A"/>
    <w:rsid w:val="4B06733D"/>
    <w:rsid w:val="4B3E127F"/>
    <w:rsid w:val="4B475260"/>
    <w:rsid w:val="4B7F0E9E"/>
    <w:rsid w:val="4B897627"/>
    <w:rsid w:val="4BD10EBA"/>
    <w:rsid w:val="4BE56F53"/>
    <w:rsid w:val="4C001FDF"/>
    <w:rsid w:val="4C2630C7"/>
    <w:rsid w:val="4C7D362F"/>
    <w:rsid w:val="4CA54934"/>
    <w:rsid w:val="4CAD7FC7"/>
    <w:rsid w:val="4CFB27A6"/>
    <w:rsid w:val="4D3B2BA3"/>
    <w:rsid w:val="4D502AF2"/>
    <w:rsid w:val="4D875DE8"/>
    <w:rsid w:val="4DA9212D"/>
    <w:rsid w:val="4DB36BDD"/>
    <w:rsid w:val="4DD63E21"/>
    <w:rsid w:val="4E437F61"/>
    <w:rsid w:val="4E516B22"/>
    <w:rsid w:val="4E5B79A0"/>
    <w:rsid w:val="4E5C7274"/>
    <w:rsid w:val="4E6D373C"/>
    <w:rsid w:val="4E775E5C"/>
    <w:rsid w:val="4ED220E5"/>
    <w:rsid w:val="4F043B94"/>
    <w:rsid w:val="4F42290E"/>
    <w:rsid w:val="4F4421E2"/>
    <w:rsid w:val="4F675ED1"/>
    <w:rsid w:val="4F894099"/>
    <w:rsid w:val="4F912F4E"/>
    <w:rsid w:val="4FCB46B2"/>
    <w:rsid w:val="4FCE408A"/>
    <w:rsid w:val="50137E07"/>
    <w:rsid w:val="50327B53"/>
    <w:rsid w:val="504A7CCC"/>
    <w:rsid w:val="505B3C87"/>
    <w:rsid w:val="506D5BA1"/>
    <w:rsid w:val="509B2D47"/>
    <w:rsid w:val="50ED2406"/>
    <w:rsid w:val="50F96FFC"/>
    <w:rsid w:val="5124051D"/>
    <w:rsid w:val="513E0CF0"/>
    <w:rsid w:val="514048B2"/>
    <w:rsid w:val="514E559A"/>
    <w:rsid w:val="51513971"/>
    <w:rsid w:val="515B7795"/>
    <w:rsid w:val="51694182"/>
    <w:rsid w:val="516E1798"/>
    <w:rsid w:val="518C60C3"/>
    <w:rsid w:val="51B80C66"/>
    <w:rsid w:val="51C30BDC"/>
    <w:rsid w:val="51C35D1F"/>
    <w:rsid w:val="51E56C3E"/>
    <w:rsid w:val="52036385"/>
    <w:rsid w:val="52100AA2"/>
    <w:rsid w:val="52315008"/>
    <w:rsid w:val="523F1387"/>
    <w:rsid w:val="525766D1"/>
    <w:rsid w:val="5264494A"/>
    <w:rsid w:val="526A6404"/>
    <w:rsid w:val="52750905"/>
    <w:rsid w:val="5294522F"/>
    <w:rsid w:val="52AB1C77"/>
    <w:rsid w:val="52AB5B97"/>
    <w:rsid w:val="52B23907"/>
    <w:rsid w:val="52EB26AA"/>
    <w:rsid w:val="530A54F1"/>
    <w:rsid w:val="5326258A"/>
    <w:rsid w:val="533243C3"/>
    <w:rsid w:val="53346A12"/>
    <w:rsid w:val="538F3C48"/>
    <w:rsid w:val="53DD0E57"/>
    <w:rsid w:val="53DF766E"/>
    <w:rsid w:val="53EC4BF7"/>
    <w:rsid w:val="541E4EFC"/>
    <w:rsid w:val="542720D3"/>
    <w:rsid w:val="54426960"/>
    <w:rsid w:val="547F1F0F"/>
    <w:rsid w:val="54B55930"/>
    <w:rsid w:val="54C01DC9"/>
    <w:rsid w:val="54C94F38"/>
    <w:rsid w:val="54E83610"/>
    <w:rsid w:val="54F226E1"/>
    <w:rsid w:val="55320D2F"/>
    <w:rsid w:val="5583158B"/>
    <w:rsid w:val="55A56229"/>
    <w:rsid w:val="55B65FCD"/>
    <w:rsid w:val="55F935FB"/>
    <w:rsid w:val="564451BE"/>
    <w:rsid w:val="566E223B"/>
    <w:rsid w:val="56B85264"/>
    <w:rsid w:val="574D3BFE"/>
    <w:rsid w:val="5765363E"/>
    <w:rsid w:val="57BE68AA"/>
    <w:rsid w:val="57E207EA"/>
    <w:rsid w:val="58405511"/>
    <w:rsid w:val="586E207E"/>
    <w:rsid w:val="587D53D1"/>
    <w:rsid w:val="587D5C68"/>
    <w:rsid w:val="58C17724"/>
    <w:rsid w:val="58C3686E"/>
    <w:rsid w:val="58D00F8B"/>
    <w:rsid w:val="58D04124"/>
    <w:rsid w:val="58D75E75"/>
    <w:rsid w:val="58D77C23"/>
    <w:rsid w:val="58E660B8"/>
    <w:rsid w:val="59084281"/>
    <w:rsid w:val="5915074C"/>
    <w:rsid w:val="592326DD"/>
    <w:rsid w:val="59305585"/>
    <w:rsid w:val="59C208D3"/>
    <w:rsid w:val="5A0233C6"/>
    <w:rsid w:val="5A366BCB"/>
    <w:rsid w:val="5A655703"/>
    <w:rsid w:val="5A955E00"/>
    <w:rsid w:val="5AD20FEA"/>
    <w:rsid w:val="5AD25392"/>
    <w:rsid w:val="5B157290"/>
    <w:rsid w:val="5B1F3B03"/>
    <w:rsid w:val="5B5A2D8E"/>
    <w:rsid w:val="5B70435F"/>
    <w:rsid w:val="5B767BC7"/>
    <w:rsid w:val="5BC326E1"/>
    <w:rsid w:val="5BD5FD07"/>
    <w:rsid w:val="5C231D38"/>
    <w:rsid w:val="5C337866"/>
    <w:rsid w:val="5C594DF3"/>
    <w:rsid w:val="5C891B7C"/>
    <w:rsid w:val="5CCB7615"/>
    <w:rsid w:val="5CD5729F"/>
    <w:rsid w:val="5D170F36"/>
    <w:rsid w:val="5D437F7D"/>
    <w:rsid w:val="5DB1138B"/>
    <w:rsid w:val="5DC53CD5"/>
    <w:rsid w:val="5DDC7654"/>
    <w:rsid w:val="5DFA2580"/>
    <w:rsid w:val="5E0E058B"/>
    <w:rsid w:val="5E116ACE"/>
    <w:rsid w:val="5E194573"/>
    <w:rsid w:val="5E48511F"/>
    <w:rsid w:val="5E5341F0"/>
    <w:rsid w:val="5E6E2DD8"/>
    <w:rsid w:val="5E7E05A8"/>
    <w:rsid w:val="5EA63795"/>
    <w:rsid w:val="5EBD5B0D"/>
    <w:rsid w:val="5F090D52"/>
    <w:rsid w:val="5F092B01"/>
    <w:rsid w:val="5F7E529D"/>
    <w:rsid w:val="5FBA204D"/>
    <w:rsid w:val="5FC829BC"/>
    <w:rsid w:val="602A5424"/>
    <w:rsid w:val="60563B24"/>
    <w:rsid w:val="60620BA5"/>
    <w:rsid w:val="606F4BE5"/>
    <w:rsid w:val="60A01243"/>
    <w:rsid w:val="6139510F"/>
    <w:rsid w:val="61A92379"/>
    <w:rsid w:val="61BE64EE"/>
    <w:rsid w:val="61DE0274"/>
    <w:rsid w:val="61FC4B9F"/>
    <w:rsid w:val="620923F0"/>
    <w:rsid w:val="627064A9"/>
    <w:rsid w:val="628A21AA"/>
    <w:rsid w:val="62A35D2B"/>
    <w:rsid w:val="62C51434"/>
    <w:rsid w:val="62D96C8E"/>
    <w:rsid w:val="63057A83"/>
    <w:rsid w:val="631D301E"/>
    <w:rsid w:val="637048BF"/>
    <w:rsid w:val="637462DF"/>
    <w:rsid w:val="63B374DF"/>
    <w:rsid w:val="63D538F9"/>
    <w:rsid w:val="63F21DB5"/>
    <w:rsid w:val="640104D5"/>
    <w:rsid w:val="64061D04"/>
    <w:rsid w:val="64460353"/>
    <w:rsid w:val="64485E79"/>
    <w:rsid w:val="644D7933"/>
    <w:rsid w:val="64633478"/>
    <w:rsid w:val="64841E7A"/>
    <w:rsid w:val="6492024A"/>
    <w:rsid w:val="64AF5EF8"/>
    <w:rsid w:val="65444892"/>
    <w:rsid w:val="65654809"/>
    <w:rsid w:val="65C77271"/>
    <w:rsid w:val="66326ED8"/>
    <w:rsid w:val="66833198"/>
    <w:rsid w:val="66C022F9"/>
    <w:rsid w:val="66D103A8"/>
    <w:rsid w:val="66D6776C"/>
    <w:rsid w:val="66DB2FD4"/>
    <w:rsid w:val="671F5780"/>
    <w:rsid w:val="6744501E"/>
    <w:rsid w:val="68262975"/>
    <w:rsid w:val="683E3F52"/>
    <w:rsid w:val="6855196A"/>
    <w:rsid w:val="68A51AEC"/>
    <w:rsid w:val="68DB3760"/>
    <w:rsid w:val="68EF0FB9"/>
    <w:rsid w:val="69196036"/>
    <w:rsid w:val="692429E9"/>
    <w:rsid w:val="69455B2B"/>
    <w:rsid w:val="696E0B50"/>
    <w:rsid w:val="6A4A2640"/>
    <w:rsid w:val="6A7774B8"/>
    <w:rsid w:val="6A8E65B0"/>
    <w:rsid w:val="6B19231D"/>
    <w:rsid w:val="6B2A277C"/>
    <w:rsid w:val="6B6F1F3D"/>
    <w:rsid w:val="6B851187"/>
    <w:rsid w:val="6B87197D"/>
    <w:rsid w:val="6BA20565"/>
    <w:rsid w:val="6BC71D79"/>
    <w:rsid w:val="6C046B2A"/>
    <w:rsid w:val="6C2373DC"/>
    <w:rsid w:val="6C450EF0"/>
    <w:rsid w:val="6C506213"/>
    <w:rsid w:val="6C552A2E"/>
    <w:rsid w:val="6CE8644B"/>
    <w:rsid w:val="6D231231"/>
    <w:rsid w:val="6D521B17"/>
    <w:rsid w:val="6D9640F9"/>
    <w:rsid w:val="6D9D0E07"/>
    <w:rsid w:val="6D9E2FAE"/>
    <w:rsid w:val="6DE62094"/>
    <w:rsid w:val="6DEA61F3"/>
    <w:rsid w:val="6DFB5D0A"/>
    <w:rsid w:val="6E5A6ED5"/>
    <w:rsid w:val="6E5D0773"/>
    <w:rsid w:val="6E6179B3"/>
    <w:rsid w:val="6E7A7577"/>
    <w:rsid w:val="6EA77C40"/>
    <w:rsid w:val="6EAC5256"/>
    <w:rsid w:val="6EAE0FCF"/>
    <w:rsid w:val="6EF235B1"/>
    <w:rsid w:val="6F215C44"/>
    <w:rsid w:val="6F305E87"/>
    <w:rsid w:val="6F40431D"/>
    <w:rsid w:val="6F413BF1"/>
    <w:rsid w:val="6F4F630E"/>
    <w:rsid w:val="6F63000B"/>
    <w:rsid w:val="6F745D74"/>
    <w:rsid w:val="6F997ED1"/>
    <w:rsid w:val="6FC00FB9"/>
    <w:rsid w:val="6FC84312"/>
    <w:rsid w:val="6FD20CED"/>
    <w:rsid w:val="6FE56C72"/>
    <w:rsid w:val="70090BB2"/>
    <w:rsid w:val="700A0487"/>
    <w:rsid w:val="7073427E"/>
    <w:rsid w:val="707D6EAA"/>
    <w:rsid w:val="70BC3E77"/>
    <w:rsid w:val="70C33179"/>
    <w:rsid w:val="70C76378"/>
    <w:rsid w:val="70E4517B"/>
    <w:rsid w:val="70E76A1A"/>
    <w:rsid w:val="713B6A1E"/>
    <w:rsid w:val="714B6FA9"/>
    <w:rsid w:val="715E1D8D"/>
    <w:rsid w:val="716360A0"/>
    <w:rsid w:val="71674675"/>
    <w:rsid w:val="71AD7C63"/>
    <w:rsid w:val="71C07997"/>
    <w:rsid w:val="71DC0FEA"/>
    <w:rsid w:val="71F80EDE"/>
    <w:rsid w:val="721D0945"/>
    <w:rsid w:val="722F2426"/>
    <w:rsid w:val="724266DE"/>
    <w:rsid w:val="725B321B"/>
    <w:rsid w:val="72D134DE"/>
    <w:rsid w:val="7315786E"/>
    <w:rsid w:val="73E55492"/>
    <w:rsid w:val="73E84F83"/>
    <w:rsid w:val="74AB1A1D"/>
    <w:rsid w:val="750E6C6B"/>
    <w:rsid w:val="753F6E24"/>
    <w:rsid w:val="75581C94"/>
    <w:rsid w:val="75814171"/>
    <w:rsid w:val="75976C60"/>
    <w:rsid w:val="75CE7B37"/>
    <w:rsid w:val="75CF63FA"/>
    <w:rsid w:val="75D92DD5"/>
    <w:rsid w:val="761D2E3A"/>
    <w:rsid w:val="76424E14"/>
    <w:rsid w:val="76D8312E"/>
    <w:rsid w:val="76EE28B0"/>
    <w:rsid w:val="76F8372F"/>
    <w:rsid w:val="76FD3C10"/>
    <w:rsid w:val="772C33D8"/>
    <w:rsid w:val="775F7911"/>
    <w:rsid w:val="778356EE"/>
    <w:rsid w:val="7795690D"/>
    <w:rsid w:val="78654DF4"/>
    <w:rsid w:val="786F7A21"/>
    <w:rsid w:val="7871743B"/>
    <w:rsid w:val="78AC52A2"/>
    <w:rsid w:val="78C22246"/>
    <w:rsid w:val="78D37FAF"/>
    <w:rsid w:val="79435FC4"/>
    <w:rsid w:val="79505FD9"/>
    <w:rsid w:val="79567BC4"/>
    <w:rsid w:val="795F7A95"/>
    <w:rsid w:val="796A01BC"/>
    <w:rsid w:val="79703A50"/>
    <w:rsid w:val="79725A1A"/>
    <w:rsid w:val="79826CFE"/>
    <w:rsid w:val="798D2B1A"/>
    <w:rsid w:val="79993DA8"/>
    <w:rsid w:val="79AC2001"/>
    <w:rsid w:val="79BB1CDC"/>
    <w:rsid w:val="79F20909"/>
    <w:rsid w:val="7A3B22B0"/>
    <w:rsid w:val="7A546ECE"/>
    <w:rsid w:val="7A592C72"/>
    <w:rsid w:val="7A7D197B"/>
    <w:rsid w:val="7A94376E"/>
    <w:rsid w:val="7ABE4C8F"/>
    <w:rsid w:val="7AE069B4"/>
    <w:rsid w:val="7AFC3A89"/>
    <w:rsid w:val="7B095400"/>
    <w:rsid w:val="7B2014A6"/>
    <w:rsid w:val="7B6E2211"/>
    <w:rsid w:val="7B75534E"/>
    <w:rsid w:val="7B767318"/>
    <w:rsid w:val="7B8657AD"/>
    <w:rsid w:val="7BDC0A6A"/>
    <w:rsid w:val="7BE95D3C"/>
    <w:rsid w:val="7BFA3AA5"/>
    <w:rsid w:val="7C136915"/>
    <w:rsid w:val="7C15268D"/>
    <w:rsid w:val="7C6A0C2B"/>
    <w:rsid w:val="7C833A9B"/>
    <w:rsid w:val="7C8B294F"/>
    <w:rsid w:val="7C8E41ED"/>
    <w:rsid w:val="7CAD20F4"/>
    <w:rsid w:val="7CCF4F32"/>
    <w:rsid w:val="7CE56503"/>
    <w:rsid w:val="7CE72C39"/>
    <w:rsid w:val="7D126BCC"/>
    <w:rsid w:val="7D1F7C67"/>
    <w:rsid w:val="7D80447E"/>
    <w:rsid w:val="7D951CD7"/>
    <w:rsid w:val="7D9925BD"/>
    <w:rsid w:val="7E250F14"/>
    <w:rsid w:val="7E266DD3"/>
    <w:rsid w:val="7E355268"/>
    <w:rsid w:val="7E3E411D"/>
    <w:rsid w:val="7E5413FF"/>
    <w:rsid w:val="7E61605D"/>
    <w:rsid w:val="7E6D67B0"/>
    <w:rsid w:val="7E9A331D"/>
    <w:rsid w:val="7ECD724F"/>
    <w:rsid w:val="7EDC7492"/>
    <w:rsid w:val="7EE06F82"/>
    <w:rsid w:val="7F2478EC"/>
    <w:rsid w:val="7F637BB3"/>
    <w:rsid w:val="7F842003"/>
    <w:rsid w:val="7FD0349B"/>
    <w:rsid w:val="7FDFBA6D"/>
    <w:rsid w:val="7FFF5B2E"/>
    <w:rsid w:val="DFFBE9C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zh-CN" w:eastAsia="zh-CN" w:bidi="zh-CN"/>
    </w:rPr>
  </w:style>
  <w:style w:type="paragraph" w:styleId="2">
    <w:name w:val="heading 2"/>
    <w:basedOn w:val="1"/>
    <w:next w:val="1"/>
    <w:qFormat/>
    <w:uiPriority w:val="9"/>
    <w:pPr>
      <w:spacing w:before="160"/>
      <w:ind w:left="540"/>
      <w:outlineLvl w:val="1"/>
    </w:pPr>
    <w:rPr>
      <w:b/>
      <w:bCs/>
      <w:sz w:val="24"/>
      <w:szCs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0"/>
  </w:style>
  <w:style w:type="paragraph" w:styleId="4">
    <w:name w:val="Body Text"/>
    <w:basedOn w:val="1"/>
    <w:qFormat/>
    <w:uiPriority w:val="1"/>
    <w:pPr>
      <w:ind w:left="319"/>
    </w:pPr>
    <w:rPr>
      <w:sz w:val="24"/>
      <w:szCs w:val="24"/>
    </w:rPr>
  </w:style>
  <w:style w:type="paragraph" w:styleId="5">
    <w:name w:val="footer"/>
    <w:basedOn w:val="1"/>
    <w:unhideWhenUsed/>
    <w:qFormat/>
    <w:uiPriority w:val="99"/>
    <w:pPr>
      <w:tabs>
        <w:tab w:val="center" w:pos="4153"/>
        <w:tab w:val="right" w:pos="8306"/>
      </w:tabs>
      <w:snapToGrid w:val="0"/>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7"/>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cs="Times New Roman"/>
      <w:sz w:val="24"/>
      <w:szCs w:val="24"/>
      <w:lang w:val="en-US" w:bidi="ar-SA"/>
    </w:rPr>
  </w:style>
  <w:style w:type="paragraph" w:styleId="8">
    <w:name w:val="Normal (Web)"/>
    <w:basedOn w:val="1"/>
    <w:semiHidden/>
    <w:unhideWhenUsed/>
    <w:qFormat/>
    <w:uiPriority w:val="0"/>
    <w:pPr>
      <w:spacing w:beforeAutospacing="1" w:afterAutospacing="1"/>
    </w:pPr>
    <w:rPr>
      <w:rFonts w:cs="Times New Roman"/>
      <w:sz w:val="24"/>
      <w:lang w:val="en-US"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2">
    <w:name w:val="Strong"/>
    <w:basedOn w:val="11"/>
    <w:qFormat/>
    <w:uiPriority w:val="0"/>
    <w:rPr>
      <w:b/>
    </w:rPr>
  </w:style>
  <w:style w:type="character" w:styleId="13">
    <w:name w:val="Emphasis"/>
    <w:basedOn w:val="11"/>
    <w:qFormat/>
    <w:uiPriority w:val="0"/>
    <w:rPr>
      <w:i/>
    </w:rPr>
  </w:style>
  <w:style w:type="character" w:styleId="14">
    <w:name w:val="annotation reference"/>
    <w:basedOn w:val="11"/>
    <w:semiHidden/>
    <w:unhideWhenUsed/>
    <w:qFormat/>
    <w:uiPriority w:val="0"/>
    <w:rPr>
      <w:sz w:val="21"/>
      <w:szCs w:val="21"/>
    </w:rPr>
  </w:style>
  <w:style w:type="paragraph" w:customStyle="1" w:styleId="15">
    <w:name w:val="Table Paragraph"/>
    <w:basedOn w:val="1"/>
    <w:qFormat/>
    <w:uiPriority w:val="1"/>
    <w:pPr>
      <w:spacing w:line="520" w:lineRule="exact"/>
      <w:ind w:right="226"/>
    </w:pPr>
  </w:style>
  <w:style w:type="table" w:customStyle="1" w:styleId="16">
    <w:name w:val="Table Normal"/>
    <w:unhideWhenUsed/>
    <w:qFormat/>
    <w:uiPriority w:val="2"/>
    <w:tblPr>
      <w:tblCellMar>
        <w:top w:w="0" w:type="dxa"/>
        <w:left w:w="0" w:type="dxa"/>
        <w:bottom w:w="0" w:type="dxa"/>
        <w:right w:w="0" w:type="dxa"/>
      </w:tblCellMar>
    </w:tblPr>
  </w:style>
  <w:style w:type="character" w:customStyle="1" w:styleId="17">
    <w:name w:val="HTML 预设格式 字符"/>
    <w:link w:val="7"/>
    <w:qFormat/>
    <w:uiPriority w:val="99"/>
    <w:rPr>
      <w:rFonts w:ascii="宋体" w:hAnsi="宋体"/>
      <w:sz w:val="24"/>
      <w:szCs w:val="24"/>
    </w:rPr>
  </w:style>
  <w:style w:type="paragraph" w:customStyle="1" w:styleId="18">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19">
    <w:name w:val="修订1"/>
    <w:hidden/>
    <w:unhideWhenUsed/>
    <w:qFormat/>
    <w:uiPriority w:val="99"/>
    <w:rPr>
      <w:rFonts w:ascii="宋体" w:hAnsi="宋体" w:eastAsia="宋体" w:cs="宋体"/>
      <w:sz w:val="22"/>
      <w:szCs w:val="22"/>
      <w:lang w:val="zh-CN" w:eastAsia="zh-CN" w:bidi="zh-CN"/>
    </w:rPr>
  </w:style>
  <w:style w:type="paragraph" w:customStyle="1" w:styleId="20">
    <w:name w:val="Revision"/>
    <w:hidden/>
    <w:unhideWhenUsed/>
    <w:qFormat/>
    <w:uiPriority w:val="99"/>
    <w:rPr>
      <w:rFonts w:ascii="宋体" w:hAnsi="宋体" w:eastAsia="宋体" w:cs="宋体"/>
      <w:sz w:val="22"/>
      <w:szCs w:val="22"/>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HBSC</Company>
  <Pages>3</Pages>
  <Words>2037</Words>
  <Characters>2099</Characters>
  <Lines>11</Lines>
  <Paragraphs>3</Paragraphs>
  <TotalTime>37</TotalTime>
  <ScaleCrop>false</ScaleCrop>
  <LinksUpToDate>false</LinksUpToDate>
  <CharactersWithSpaces>2173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2024-01-06T02:18:00Z</dcterms:created>
  <dc:creator>默沫1414148202</dc:creator>
  <cp:lastModifiedBy>张诗琪</cp:lastModifiedBy>
  <dcterms:modified xsi:type="dcterms:W3CDTF">2025-07-22T02:21:50Z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5FD3030E58F0468D850FB051899F029E_13</vt:lpwstr>
  </property>
  <property fmtid="{D5CDD505-2E9C-101B-9397-08002B2CF9AE}" pid="4" name="KSOTemplateDocerSaveRecord">
    <vt:lpwstr>eyJoZGlkIjoiMmFmYzg4YzhmOGM5NWY3YTYyYTQ2ZDcyNmEwNmFjZDciLCJ1c2VySWQiOiIxMTgxNzg2NTk3In0=</vt:lpwstr>
  </property>
</Properties>
</file>